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07.png" ContentType="image/png"/>
  <Override PartName="/word/media/rId32.png" ContentType="image/png"/>
  <Override PartName="/word/media/rId101.png" ContentType="image/png"/>
  <Override PartName="/word/media/rId63.png" ContentType="image/png"/>
  <Override PartName="/word/media/rId67.png" ContentType="image/png"/>
  <Override PartName="/word/media/rId184.png" ContentType="image/png"/>
  <Override PartName="/word/media/rId191.png" ContentType="image/png"/>
  <Override PartName="/word/media/rId200.png" ContentType="image/png"/>
  <Override PartName="/word/media/rId204.png" ContentType="image/png"/>
  <Override PartName="/word/media/rId211.png" ContentType="image/png"/>
  <Override PartName="/word/media/rId195.png" ContentType="image/png"/>
  <Override PartName="/word/media/rId181.png" ContentType="image/png"/>
  <Override PartName="/word/media/rId1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Reducing Uncertainty, Maximizing Credits</w:t>
      </w:r>
    </w:p>
    <w:p>
      <w:pPr>
        <w:pStyle w:val="Subtitle"/>
      </w:pPr>
      <w:r>
        <w:t xml:space="preserve">A Practical Training to REDD+ Carbon Accounting for Jurisdictional Programs Under ART-TREES Standards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requirements"/>
    <w:p>
      <w:pPr>
        <w:pStyle w:val="Heading2"/>
      </w:pPr>
      <w:r>
        <w:t xml:space="preserve">Uncertainty Requirements</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The 90% confidence interval uses a z-value of 1.645, meaning we can be 90% confident the true mean lies within ±1.645 standard errors of our sample mean.</w:t>
      </w:r>
    </w:p>
    <w:p>
      <w:pPr>
        <w:pStyle w:val="Compact"/>
        <w:numPr>
          <w:ilvl w:val="0"/>
          <w:numId w:val="1005"/>
        </w:numPr>
      </w:pPr>
      <w:r>
        <w:t xml:space="preserve">Root Mean Squared Error (</w:t>
      </w:r>
      <w:r>
        <w:rPr>
          <w:rStyle w:val="VerbatimChar"/>
        </w:rPr>
        <w:t xml:space="preserve">DescTools::RMSE()</w:t>
      </w:r>
      <w:r>
        <w:t xml:space="preserve">) quantifies prediction error, the average magnitude by which model predictions deviate from observed values. A biomass equation with RMSE = 20 Mg/ha means predictions typically deviate ±20 Mg/ha from true values.</w:t>
      </w:r>
    </w:p>
    <w:p>
      <w:pPr>
        <w:pStyle w:val="FirstParagraph"/>
      </w:pPr>
      <m:oMath>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w:p>
    <w:p>
      <w:pPr>
        <w:pStyle w:val="BodyText"/>
      </w:pPr>
      <w:r>
        <w:t xml:space="preserve">The Uncertainty Adjustment Factor (UAF) applies a conservative deduction to carbon credits based on this prediction error. Higher RMSE necessitates larger deductions. Understanding this error-to-deduction pathway reveals why model quality directly affects credit revenue: a 50% reduction in allometric uncertainty can translate to a 10-15% increase in creditable carbon.</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6"/>
        </w:numPr>
      </w:pPr>
      <w:r>
        <w:t xml:space="preserve">Pseudo-random Number Generation</w:t>
      </w:r>
    </w:p>
    <w:p>
      <w:pPr>
        <w:pStyle w:val="Compact"/>
        <w:numPr>
          <w:ilvl w:val="0"/>
          <w:numId w:val="1006"/>
        </w:numPr>
      </w:pPr>
      <w:r>
        <w:t xml:space="preserve">Markov-Rule of Memory-less Dependence</w:t>
      </w:r>
    </w:p>
    <w:p>
      <w:pPr>
        <w:pStyle w:val="Compact"/>
        <w:numPr>
          <w:ilvl w:val="0"/>
          <w:numId w:val="1006"/>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Trends of Forests</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7"/>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7"/>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curriculum-design"/>
    <w:p>
      <w:pPr>
        <w:pStyle w:val="Heading2"/>
      </w:pPr>
      <w:r>
        <w:t xml:space="preserve">Curriculum Design</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8"/>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8"/>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8"/>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8"/>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p>
      <w:pPr>
        <w:pStyle w:val="FirstParagraph"/>
      </w:pPr>
    </w:p>
    <w:p>
      <w:pPr>
        <w:pStyle w:val="BodyText"/>
      </w:pPr>
      <w:r>
        <w:t xml:space="preserve">Appendix I includes collection of additional reading specific to each of the chapters’ topics and expanded subsections drawn from Winrock’s ongoing work in uncertainty reporting of combustion emissions and wetland emissions in above-ground and below-ground pools across organic and mineral soils, with key references listed the move towards carbon flux accounting. Keys references and notes also and the historical disaggregation of uncertainty from natural disturbances. This also includes annotated bibliography of IPCC resources discussing the statistical assumptions involved and their known limitations in specific geographic regions of South America and South East Asia.</w:t>
      </w:r>
    </w:p>
    <w:p>
      <w:pPr>
        <w:pStyle w:val="BodyText"/>
      </w:pPr>
    </w:p>
    <w:bookmarkEnd w:id="30"/>
    <w:bookmarkEnd w:id="31"/>
    <w:bookmarkStart w:id="95"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p>
      <w:pPr>
        <w:pStyle w:val="BodyText"/>
      </w:pPr>
    </w:p>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10"/>
        </w:numPr>
      </w:pPr>
      <w:r>
        <w:rPr>
          <w:rStyle w:val="VerbatimChar"/>
        </w:rPr>
        <w:t xml:space="preserve">AGB</w:t>
      </w:r>
      <w:r>
        <w:t xml:space="preserve">: Aboveground biomass (kg)</w:t>
      </w:r>
    </w:p>
    <w:p>
      <w:pPr>
        <w:pStyle w:val="Compact"/>
        <w:numPr>
          <w:ilvl w:val="0"/>
          <w:numId w:val="1010"/>
        </w:numPr>
      </w:pPr>
      <w:r>
        <w:rPr>
          <w:rStyle w:val="VerbatimChar"/>
        </w:rPr>
        <w:t xml:space="preserve">DBH</w:t>
      </w:r>
      <w:r>
        <w:t xml:space="preserve">: Diameter at breast height (cm)</w:t>
      </w:r>
    </w:p>
    <w:p>
      <w:pPr>
        <w:pStyle w:val="Compact"/>
        <w:numPr>
          <w:ilvl w:val="0"/>
          <w:numId w:val="1010"/>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10"/>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1"/>
        </w:numPr>
      </w:pPr>
      <w:r>
        <w:t xml:space="preserve">How should uncertainty metrics inform model selection and optimization?</w:t>
      </w:r>
    </w:p>
    <w:p>
      <w:pPr>
        <w:pStyle w:val="Compact"/>
        <w:numPr>
          <w:ilvl w:val="0"/>
          <w:numId w:val="1011"/>
        </w:numPr>
      </w:pPr>
      <w:r>
        <w:t xml:space="preserve">How does allometry uncertainty impacts carbon credit deductions</w:t>
      </w:r>
    </w:p>
    <w:bookmarkEnd w:id="39"/>
    <w:bookmarkStart w:id="60"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2"/>
        </w:numPr>
      </w:pPr>
      <w:r>
        <w:rPr>
          <w:i/>
          <w:iCs/>
        </w:rPr>
        <w:t xml:space="preserve">Acer rubrum</w:t>
      </w:r>
      <w:r>
        <w:t xml:space="preserve"> </w:t>
      </w:r>
      <w:r>
        <w:t xml:space="preserve">(red maple): Lower density (0.49 g/cm³), faster growth</w:t>
      </w:r>
    </w:p>
    <w:p>
      <w:pPr>
        <w:pStyle w:val="Compact"/>
        <w:numPr>
          <w:ilvl w:val="0"/>
          <w:numId w:val="1012"/>
        </w:numPr>
      </w:pPr>
      <w:r>
        <w:rPr>
          <w:i/>
          <w:iCs/>
        </w:rPr>
        <w:t xml:space="preserve">Acer saccharum</w:t>
      </w:r>
      <w:r>
        <w:t xml:space="preserve"> </w:t>
      </w:r>
      <w:r>
        <w:t xml:space="preserve">(sugar maple): Higher density (0.63 g/cm³), denser wood</w:t>
      </w:r>
    </w:p>
    <w:p>
      <w:pPr>
        <w:pStyle w:val="Compact"/>
        <w:numPr>
          <w:ilvl w:val="0"/>
          <w:numId w:val="1012"/>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3"/>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3"/>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3"/>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3"/>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4"/>
        </w:numPr>
      </w:pPr>
      <w:r>
        <w:t xml:space="preserve">Salinity gradients: Mangrove allometry where salt stress affects growth rate, wood density, and architectural form</w:t>
      </w:r>
    </w:p>
    <w:p>
      <w:pPr>
        <w:pStyle w:val="Compact"/>
        <w:numPr>
          <w:ilvl w:val="1"/>
          <w:numId w:val="1014"/>
        </w:numPr>
      </w:pPr>
      <w:r>
        <w:t xml:space="preserve">Soil fertility: Nutrient availability influencing wood density and height-diameter relationships</w:t>
      </w:r>
    </w:p>
    <w:p>
      <w:pPr>
        <w:pStyle w:val="Compact"/>
        <w:numPr>
          <w:ilvl w:val="1"/>
          <w:numId w:val="1014"/>
        </w:numPr>
      </w:pPr>
      <w:r>
        <w:t xml:space="preserve">Climate: Temperature and precipitation gradients captured through environmental stress factors</w:t>
      </w:r>
    </w:p>
    <w:p>
      <w:pPr>
        <w:pStyle w:val="Compact"/>
        <w:numPr>
          <w:ilvl w:val="1"/>
          <w:numId w:val="1014"/>
        </w:numPr>
      </w:pPr>
      <w:r>
        <w:t xml:space="preserve">Geomorphology: Tidal inundation frequency, elevation, or hydrological regime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p>
      <w:pPr>
        <w:pStyle w:val="BodyText"/>
      </w:pPr>
    </w:p>
    <w:bookmarkStart w:id="47"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Species’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5"/>
        </w:numPr>
      </w:pPr>
      <w:r>
        <w:rPr>
          <w:rStyle w:val="VerbatimChar"/>
        </w:rPr>
        <w:t xml:space="preserve">dbh</w:t>
      </w:r>
      <w:r>
        <w:t xml:space="preserve">: Diameter at breast height (cm)</w:t>
      </w:r>
    </w:p>
    <w:p>
      <w:pPr>
        <w:pStyle w:val="Compact"/>
        <w:numPr>
          <w:ilvl w:val="0"/>
          <w:numId w:val="1015"/>
        </w:numPr>
      </w:pPr>
      <w:r>
        <w:rPr>
          <w:rStyle w:val="VerbatimChar"/>
        </w:rPr>
        <w:t xml:space="preserve">genus</w:t>
      </w:r>
      <w:r>
        <w:t xml:space="preserve">: Taxonomic genus identification</w:t>
      </w:r>
    </w:p>
    <w:p>
      <w:pPr>
        <w:pStyle w:val="Compact"/>
        <w:numPr>
          <w:ilvl w:val="0"/>
          <w:numId w:val="1015"/>
        </w:numPr>
      </w:pPr>
      <w:r>
        <w:rPr>
          <w:rStyle w:val="VerbatimChar"/>
        </w:rPr>
        <w:t xml:space="preserve">species</w:t>
      </w:r>
      <w:r>
        <w:t xml:space="preserve">: Species epithet</w:t>
      </w:r>
    </w:p>
    <w:p>
      <w:pPr>
        <w:pStyle w:val="Compact"/>
        <w:numPr>
          <w:ilvl w:val="0"/>
          <w:numId w:val="1015"/>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DBH Spread</w:t>
            </w:r>
          </w:p>
        </w:tc>
      </w:tr>
      <w:tr>
        <w:trPr>
          <w:cantSplit/>
        </w:trPr>
        <w:tc>
          <w:tcPr>
            <w:tcMar>
              <w:top w:w="108" w:type="dxa"/>
              <w:bottom w:w="108" w:type="dxa"/>
            </w:tcMar>
          </w:tcPr>
          <w:p>
            <w:pPr>
              <w:pStyle w:val="BodyText"/>
            </w:pPr>
            <w:pPr>
              <w:spacing w:before="16" w:after="16"/>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tc>
      </w:tr>
    </w:tbl>
    <w:p>
      <w:pPr>
        <w:pStyle w:val="BodyText"/>
      </w:pP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6"/>
        </w:numPr>
      </w:pPr>
      <w:r>
        <w:t xml:space="preserve">Geographic Proximity: Prioritize equations developed in climates and soil conditions similar to your project area</w:t>
      </w:r>
    </w:p>
    <w:p>
      <w:pPr>
        <w:pStyle w:val="Compact"/>
        <w:numPr>
          <w:ilvl w:val="0"/>
          <w:numId w:val="1016"/>
        </w:numPr>
      </w:pPr>
      <w:r>
        <w:t xml:space="preserve">Taxonomic Specificity: Prefer species-level &gt; genus-level &gt; family-level equations</w:t>
      </w:r>
    </w:p>
    <w:p>
      <w:pPr>
        <w:pStyle w:val="Compact"/>
        <w:numPr>
          <w:ilvl w:val="0"/>
          <w:numId w:val="1016"/>
        </w:numPr>
      </w:pPr>
      <w:r>
        <w:t xml:space="preserve">DBH Range Coverage: Ensure equation applicability spans ≥80% of measured diameter distribution</w:t>
      </w:r>
    </w:p>
    <w:p>
      <w:pPr>
        <w:pStyle w:val="Compact"/>
        <w:numPr>
          <w:ilvl w:val="0"/>
          <w:numId w:val="1016"/>
        </w:numPr>
      </w:pPr>
      <w:r>
        <w:t xml:space="preserve">Sample Size Adequacy: Minimum n=50 trees for species-specific; n&gt;150 for genus-level equations</w:t>
      </w:r>
      <w:r>
        <w:rPr>
          <w:rStyle w:val="FootnoteReference"/>
        </w:rPr>
        <w:footnoteReference w:id="49"/>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7"/>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7"/>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p>
      <w:pPr>
        <w:pStyle w:val="FirstParagraph"/>
      </w:pPr>
    </w:p>
    <w:bookmarkStart w:id="52" w:name="step-1-geographic-selection"/>
    <w:p>
      <w:pPr>
        <w:pStyle w:val="Heading4"/>
      </w:pPr>
      <w:r>
        <w:t xml:space="preserve">Step 1: Geographic Selection</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Chave et al 2014</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Brown et al 1996</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8"/>
        </w:numPr>
      </w:pPr>
      <w:r>
        <w:t xml:space="preserve">Sample size: Equations derived from varying destructive sampling campaigns (n &gt; 100) receive higher weights.</w:t>
      </w:r>
    </w:p>
    <w:p>
      <w:pPr>
        <w:pStyle w:val="Compact"/>
        <w:numPr>
          <w:ilvl w:val="0"/>
          <w:numId w:val="1018"/>
        </w:numPr>
      </w:pPr>
      <w:r>
        <w:t xml:space="preserve">Taxonomic specificity: Species-specific equations are weighted more heavily than genus-level, which in turn outweigh family-level equations.</w:t>
      </w:r>
    </w:p>
    <w:p>
      <w:pPr>
        <w:pStyle w:val="Compact"/>
        <w:numPr>
          <w:ilvl w:val="0"/>
          <w:numId w:val="1018"/>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9"/>
        </w:numPr>
      </w:pPr>
      <w:r>
        <w:t xml:space="preserve">Each candidate equation is resampled within its original DBH range.</w:t>
      </w:r>
    </w:p>
    <w:p>
      <w:pPr>
        <w:pStyle w:val="Compact"/>
        <w:numPr>
          <w:ilvl w:val="0"/>
          <w:numId w:val="1019"/>
        </w:numPr>
      </w:pPr>
      <w:r>
        <w:t xml:space="preserve">The number of resampled values for each equation is proportional to its assigned weight.</w:t>
      </w:r>
    </w:p>
    <w:p>
      <w:pPr>
        <w:pStyle w:val="Compact"/>
        <w:numPr>
          <w:ilvl w:val="0"/>
          <w:numId w:val="1019"/>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20"/>
        </w:numPr>
      </w:pPr>
      <w:r>
        <w:t xml:space="preserve">⍺ (scaling coefficient): Incorporates local wood density and architectural characteristics.</w:t>
      </w:r>
    </w:p>
    <w:p>
      <w:pPr>
        <w:pStyle w:val="Compact"/>
        <w:numPr>
          <w:ilvl w:val="0"/>
          <w:numId w:val="1020"/>
        </w:numPr>
      </w:pPr>
      <w:r>
        <w:t xml:space="preserve">𝒃 (allometric exponent): Typically ranges from 2.3 to 2.7, reflecting biomechanical constraints.</w:t>
      </w:r>
    </w:p>
    <w:p>
      <w:pPr>
        <w:pStyle w:val="Compact"/>
        <w:numPr>
          <w:ilvl w:val="0"/>
          <w:numId w:val="1020"/>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BodyText"/>
      </w:pPr>
      <w:r>
        <w:br/>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1"/>
              </w:numPr>
            </w:pPr>
            <w:r>
              <w:t xml:space="preserve">Transparency: Document all criteria and thresholds</w:t>
            </w:r>
          </w:p>
          <w:p>
            <w:pPr>
              <w:pStyle w:val="Compact"/>
              <w:numPr>
                <w:ilvl w:val="0"/>
                <w:numId w:val="1021"/>
              </w:numPr>
            </w:pPr>
            <w:r>
              <w:t xml:space="preserve">Reproducibility: Code-based workflow enables auditing</w:t>
            </w:r>
          </w:p>
          <w:p>
            <w:pPr>
              <w:pStyle w:val="Compact"/>
              <w:numPr>
                <w:ilvl w:val="0"/>
                <w:numId w:val="1021"/>
              </w:numPr>
            </w:pPr>
            <w:r>
              <w:t xml:space="preserve">Bias Reduction: Geographic and taxonomic filtering minimizes systematic errors to species level</w:t>
            </w:r>
          </w:p>
          <w:p>
            <w:pPr>
              <w:pStyle w:val="Compact"/>
              <w:numPr>
                <w:ilvl w:val="0"/>
                <w:numId w:val="1021"/>
              </w:numPr>
            </w:pPr>
            <w:r>
              <w:t xml:space="preserve">Uncertainty Surveillance: Multiple equations enable sensitivity analysis (Section 1.5)</w:t>
            </w:r>
          </w:p>
        </w:tc>
      </w:tr>
    </w:tbl>
    <w:p>
      <w:pPr>
        <w:pStyle w:val="FirstParagraph"/>
      </w:pPr>
    </w:p>
    <w:bookmarkEnd w:id="58"/>
    <w:bookmarkEnd w:id="59"/>
    <w:bookmarkEnd w:id="60"/>
    <w:bookmarkStart w:id="73" w:name="biomass-estimations"/>
    <w:p>
      <w:pPr>
        <w:pStyle w:val="Heading2"/>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quarto/share/formats/docx/tip.png" id="6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2"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3"/>
        </w:numPr>
      </w:pPr>
      <w:r>
        <w:t xml:space="preserve">Null hypothesis (H₀): Variance is constant or homoscedastic</w:t>
      </w:r>
    </w:p>
    <w:p>
      <w:pPr>
        <w:pStyle w:val="Compact"/>
        <w:numPr>
          <w:ilvl w:val="0"/>
          <w:numId w:val="1023"/>
        </w:numPr>
      </w:pPr>
      <w:r>
        <w:t xml:space="preserve">Alternative (H₁): Variance changes with predictor values and is heteroscedastic</w:t>
      </w:r>
    </w:p>
    <w:p>
      <w:pPr>
        <w:pStyle w:val="Compact"/>
        <w:numPr>
          <w:ilvl w:val="0"/>
          <w:numId w:val="1023"/>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Uncertainty Effect</w:t>
            </w:r>
          </w:p>
        </w:tc>
      </w:tr>
      <w:tr>
        <w:trPr>
          <w:cantSplit/>
        </w:trPr>
        <w:tc>
          <w:tcPr>
            <w:tcMar>
              <w:top w:w="108" w:type="dxa"/>
              <w:bottom w:w="108" w:type="dxa"/>
            </w:tcMar>
          </w:tcPr>
          <w:p>
            <w:pPr>
              <w:pStyle w:val="BodyText"/>
            </w:pPr>
            <w:pPr>
              <w:spacing w:before="16"/>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rPr>
                <w:b/>
                <w:bCs/>
              </w:rPr>
              <w:t xml:space="preserve">Required corrections:</w:t>
            </w:r>
          </w:p>
          <w:p>
            <w:pPr>
              <w:pStyle w:val="Compact"/>
              <w:numPr>
                <w:ilvl w:val="0"/>
                <w:numId w:val="1024"/>
              </w:numPr>
            </w:pPr>
            <w:r>
              <w:t xml:space="preserve">Log-transformation of both variables</w:t>
            </w:r>
          </w:p>
          <w:p>
            <w:pPr>
              <w:pStyle w:val="Compact"/>
              <w:numPr>
                <w:ilvl w:val="0"/>
                <w:numId w:val="1024"/>
              </w:numPr>
            </w:pPr>
            <w:r>
              <w:t xml:space="preserve">Weighted regression for residual heteroscedasticity</w:t>
            </w:r>
          </w:p>
          <w:p>
            <w:pPr>
              <w:pStyle w:val="Compact"/>
              <w:numPr>
                <w:ilvl w:val="0"/>
                <w:numId w:val="1024"/>
              </w:numPr>
            </w:pPr>
            <w:r>
              <w:t xml:space="preserve">Robust standard errors to supplement transformation</w:t>
            </w:r>
          </w:p>
        </w:tc>
      </w:tr>
    </w:tbl>
    <w:bookmarkEnd w:id="72"/>
    <w:bookmarkEnd w:id="73"/>
    <w:bookmarkStart w:id="80" w:name="model-optimization"/>
    <w:p>
      <w:pPr>
        <w:pStyle w:val="Heading2"/>
      </w:pPr>
      <w:r>
        <w:t xml:space="preserve">1.3 Model Optimization</w:t>
      </w:r>
    </w:p>
    <w:bookmarkStart w:id="79"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5"/>
        </w:numPr>
      </w:pPr>
      <w:r>
        <w:rPr>
          <w:rStyle w:val="VerbatimChar"/>
        </w:rPr>
        <w:t xml:space="preserve">β</w:t>
      </w:r>
      <w:r>
        <w:t xml:space="preserve"> </w:t>
      </w:r>
      <w:r>
        <w:t xml:space="preserve">becomes a slope coefficient</w:t>
      </w:r>
    </w:p>
    <w:p>
      <w:pPr>
        <w:pStyle w:val="Compact"/>
        <w:numPr>
          <w:ilvl w:val="0"/>
          <w:numId w:val="1025"/>
        </w:numPr>
      </w:pPr>
      <w:r>
        <w:t xml:space="preserve">Variance stabilizes across tree sizes</w:t>
      </w:r>
    </w:p>
    <w:p>
      <w:pPr>
        <w:pStyle w:val="Compact"/>
        <w:numPr>
          <w:ilvl w:val="0"/>
          <w:numId w:val="1025"/>
        </w:numPr>
      </w:pPr>
      <w:r>
        <w:t xml:space="preserve">Residuals are normalized enough to satisfy OLS assumptions that our predictions are dependent on</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important.png" id="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p>
    <w:p>
      <w:pPr>
        <w:pStyle w:val="BodyText"/>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8" w:name="age-size-training-stratification"/>
    <w:p>
      <w:pPr>
        <w:pStyle w:val="Heading4"/>
      </w:pPr>
      <w:r>
        <w:t xml:space="preserve">Age-Size Training Stratification</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quarto/share/formats/docx/tip.png" id="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Training-Test Proportionality</w:t>
            </w:r>
          </w:p>
        </w:tc>
      </w:tr>
      <w:tr>
        <w:trPr>
          <w:cantSplit/>
        </w:trPr>
        <w:tc>
          <w:tcPr>
            <w:tcMar>
              <w:top w:w="108" w:type="dxa"/>
              <w:bottom w:w="108" w:type="dxa"/>
            </w:tcMar>
          </w:tcPr>
          <w:p>
            <w:pPr>
              <w:pStyle w:val="BodyText"/>
            </w:pPr>
            <w:pPr>
              <w:spacing w:before="16" w:after="16"/>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tc>
      </w:tr>
    </w:tbl>
    <w:bookmarkEnd w:id="78"/>
    <w:bookmarkEnd w:id="79"/>
    <w:bookmarkEnd w:id="80"/>
    <w:bookmarkStart w:id="82" w:name="monte-carlo-cross-validation"/>
    <w:p>
      <w:pPr>
        <w:pStyle w:val="Heading2"/>
      </w:pPr>
      <w:r>
        <w:t xml:space="preserve">1.4 Monte Carlo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6"/>
        </w:numPr>
      </w:pPr>
      <w:r>
        <w:t xml:space="preserve">Assess generalization: Test model performance on unseen data</w:t>
      </w:r>
    </w:p>
    <w:p>
      <w:pPr>
        <w:pStyle w:val="Compact"/>
        <w:numPr>
          <w:ilvl w:val="0"/>
          <w:numId w:val="1026"/>
        </w:numPr>
      </w:pPr>
      <w:r>
        <w:t xml:space="preserve">Quantify uncertainty: Calculate robust RMSE estimates</w:t>
      </w:r>
    </w:p>
    <w:p>
      <w:pPr>
        <w:pStyle w:val="Compact"/>
        <w:numPr>
          <w:ilvl w:val="0"/>
          <w:numId w:val="1026"/>
        </w:numPr>
      </w:pPr>
      <w:r>
        <w:t xml:space="preserve">Compare models: Select best-performing equation type</w:t>
      </w:r>
    </w:p>
    <w:p>
      <w:pPr>
        <w:pStyle w:val="Compact"/>
        <w:numPr>
          <w:ilvl w:val="0"/>
          <w:numId w:val="1026"/>
        </w:numPr>
      </w:pPr>
      <w:r>
        <w:t xml:space="preserve">Meet MRV standards: Demonstrate compliance with ART-TREES/VCS requirements</w:t>
      </w:r>
    </w:p>
    <w:bookmarkStart w:id="81" w:name="simulation-design"/>
    <w:p>
      <w:pPr>
        <w:pStyle w:val="Heading4"/>
      </w:pPr>
      <w:r>
        <w:t xml:space="preserve">Simulation Design:</w:t>
      </w:r>
    </w:p>
    <w:p>
      <w:pPr>
        <w:pStyle w:val="Compact"/>
        <w:numPr>
          <w:ilvl w:val="0"/>
          <w:numId w:val="1027"/>
        </w:numPr>
      </w:pPr>
      <w:r>
        <w:t xml:space="preserve">100 iterations: Each iteration randomly samples 80% calibration, 20% validation</w:t>
      </w:r>
    </w:p>
    <w:p>
      <w:pPr>
        <w:pStyle w:val="Compact"/>
        <w:numPr>
          <w:ilvl w:val="0"/>
          <w:numId w:val="1027"/>
        </w:numPr>
      </w:pPr>
      <w:r>
        <w:t xml:space="preserve">Stratified sampling: Maintains DBH size class proportions (Section 1.3.3)</w:t>
      </w:r>
    </w:p>
    <w:p>
      <w:pPr>
        <w:pStyle w:val="Compact"/>
        <w:numPr>
          <w:ilvl w:val="0"/>
          <w:numId w:val="1027"/>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p>
      <w:pPr>
        <w:pStyle w:val="FirstParagraph"/>
      </w:pPr>
    </w:p>
    <w:bookmarkEnd w:id="81"/>
    <w:bookmarkEnd w:id="82"/>
    <w:bookmarkStart w:id="88" w:name="allometric-uncertainty"/>
    <w:p>
      <w:pPr>
        <w:pStyle w:val="Heading2"/>
      </w:pPr>
      <w:r>
        <w:t xml:space="preserve">1.5 Allometric Uncertainty</w:t>
      </w:r>
    </w:p>
    <w:bookmarkStart w:id="83"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8"/>
        </w:numPr>
      </w:pPr>
      <w:r>
        <w:t xml:space="preserve">RMSE (Root Mean Square Error): Primary uncertainty metric for ART-TREES deductions</w:t>
      </w:r>
    </w:p>
    <w:p>
      <w:pPr>
        <w:pStyle w:val="Compact"/>
        <w:numPr>
          <w:ilvl w:val="0"/>
          <w:numId w:val="1028"/>
        </w:numPr>
      </w:pPr>
      <w:r>
        <w:t xml:space="preserve">Relative RMSE (%): RMSE as percentage of mean, enabling cross-equation comparison</w:t>
      </w:r>
    </w:p>
    <w:p>
      <w:pPr>
        <w:pStyle w:val="Compact"/>
        <w:numPr>
          <w:ilvl w:val="0"/>
          <w:numId w:val="1028"/>
        </w:numPr>
      </w:pPr>
      <w:r>
        <w:t xml:space="preserve">MAE (Mean Absolute Error): Robust alternative less sensitive to outliers</w:t>
      </w:r>
    </w:p>
    <w:p>
      <w:pPr>
        <w:pStyle w:val="Compact"/>
        <w:numPr>
          <w:ilvl w:val="0"/>
          <w:numId w:val="1028"/>
        </w:numPr>
      </w:pPr>
      <w:r>
        <w:t xml:space="preserve">R² (Coefficient of Determination): Proportion of variance explained</w:t>
      </w:r>
    </w:p>
    <w:p>
      <w:pPr>
        <w:pStyle w:val="Compact"/>
        <w:numPr>
          <w:ilvl w:val="0"/>
          <w:numId w:val="1028"/>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3"/>
    <w:bookmarkStart w:id="84"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4"/>
    <w:bookmarkStart w:id="87"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quarto/share/formats/docx/important.png" id="8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9"/>
              </w:numPr>
            </w:pPr>
            <w:r>
              <w:t xml:space="preserve">RMSE improvement: 18.9% =&gt; 15.2% (3.7 percentage points)</w:t>
            </w:r>
          </w:p>
          <w:p>
            <w:pPr>
              <w:pStyle w:val="Compact"/>
              <w:numPr>
                <w:ilvl w:val="0"/>
                <w:numId w:val="1029"/>
              </w:numPr>
            </w:pPr>
            <w:r>
              <w:t xml:space="preserve">Deduction reduction: 6.0% =&gt; 4.8% (1.2 percentage points)</w:t>
            </w:r>
          </w:p>
          <w:p>
            <w:pPr>
              <w:pStyle w:val="Compact"/>
              <w:numPr>
                <w:ilvl w:val="0"/>
                <w:numId w:val="1029"/>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0"/>
              </w:numPr>
            </w:pPr>
            <w:r>
              <w:t xml:space="preserve">Total protected revenue: ~$360,000</w:t>
            </w:r>
          </w:p>
          <w:p>
            <w:pPr>
              <w:pStyle w:val="Compact"/>
              <w:numPr>
                <w:ilvl w:val="0"/>
                <w:numId w:val="1030"/>
              </w:numPr>
            </w:pPr>
            <w:r>
              <w:t xml:space="preserve">Additional cost: ~$15-30k for species-specific equation development</w:t>
            </w:r>
          </w:p>
          <w:p>
            <w:pPr>
              <w:pStyle w:val="Compact"/>
              <w:numPr>
                <w:ilvl w:val="0"/>
                <w:numId w:val="1030"/>
              </w:numPr>
            </w:pPr>
            <w:r>
              <w:t xml:space="preserve">Return on investment: 12-24x</w:t>
            </w:r>
          </w:p>
        </w:tc>
      </w:tr>
    </w:tbl>
    <w:p>
      <w:pPr>
        <w:pStyle w:val="FirstParagraph"/>
      </w:pPr>
    </w:p>
    <w:bookmarkEnd w:id="87"/>
    <w:bookmarkEnd w:id="88"/>
    <w:bookmarkStart w:id="94" w:name="chapter-summary"/>
    <w:p>
      <w:pPr>
        <w:pStyle w:val="Heading2"/>
      </w:pPr>
      <w:r>
        <w:t xml:space="preserve">1.6 Chapter Summary</w:t>
      </w:r>
    </w:p>
    <w:bookmarkStart w:id="89" w:name="key-findings"/>
    <w:p>
      <w:pPr>
        <w:pStyle w:val="Heading3"/>
      </w:pPr>
      <w:r>
        <w:t xml:space="preserve">Key Findings</w:t>
      </w:r>
    </w:p>
    <w:p>
      <w:pPr>
        <w:pStyle w:val="Compact"/>
        <w:numPr>
          <w:ilvl w:val="0"/>
          <w:numId w:val="1031"/>
        </w:numPr>
      </w:pPr>
      <w:r>
        <w:t xml:space="preserve">Distribution diagnostics: DBH and AGB exhibit significant right-skew (p &lt; 0.001) across all equation types, violating parametric assumptions</w:t>
      </w:r>
    </w:p>
    <w:p>
      <w:pPr>
        <w:pStyle w:val="Compact"/>
        <w:numPr>
          <w:ilvl w:val="0"/>
          <w:numId w:val="1031"/>
        </w:numPr>
      </w:pPr>
      <w:r>
        <w:t xml:space="preserve">Heteroscedasticity confirmed: Breusch-Pagan test (p &lt; 0.001) shows variance increases with tree size, requiring log-transformation</w:t>
      </w:r>
    </w:p>
    <w:p>
      <w:pPr>
        <w:pStyle w:val="Compact"/>
        <w:numPr>
          <w:ilvl w:val="0"/>
          <w:numId w:val="1031"/>
        </w:numPr>
      </w:pPr>
      <w:r>
        <w:t xml:space="preserve">Transformation impact: Log-transformation reduces RMSE from ~70-75% (linear) to ~15-20% (log), achieving 50+ percentage point uncertainty reduction</w:t>
      </w:r>
    </w:p>
    <w:p>
      <w:pPr>
        <w:pStyle w:val="Compact"/>
        <w:numPr>
          <w:ilvl w:val="0"/>
          <w:numId w:val="1031"/>
        </w:numPr>
      </w:pPr>
      <w:r>
        <w:t xml:space="preserve">Equation performance:</w:t>
      </w:r>
    </w:p>
    <w:p>
      <w:pPr>
        <w:pStyle w:val="Compact"/>
        <w:numPr>
          <w:ilvl w:val="1"/>
          <w:numId w:val="1032"/>
        </w:numPr>
      </w:pPr>
      <w:r>
        <w:t xml:space="preserve">Species-specific (log): 15.2% RMSE, 4.8% deduction</w:t>
      </w:r>
    </w:p>
    <w:p>
      <w:pPr>
        <w:pStyle w:val="Compact"/>
        <w:numPr>
          <w:ilvl w:val="1"/>
          <w:numId w:val="1032"/>
        </w:numPr>
      </w:pPr>
      <w:r>
        <w:t xml:space="preserve">Genus-level (log): 16.3% RMSE, 5.2% deduction</w:t>
      </w:r>
    </w:p>
    <w:p>
      <w:pPr>
        <w:pStyle w:val="Compact"/>
        <w:numPr>
          <w:ilvl w:val="1"/>
          <w:numId w:val="1032"/>
        </w:numPr>
      </w:pPr>
      <w:r>
        <w:t xml:space="preserve">Pan-tropical (log): 17-19% RMSE, 5.4-6.0% deduction</w:t>
      </w:r>
    </w:p>
    <w:p>
      <w:pPr>
        <w:pStyle w:val="Compact"/>
        <w:numPr>
          <w:ilvl w:val="0"/>
          <w:numId w:val="1031"/>
        </w:numPr>
      </w:pPr>
      <w:r>
        <w:t xml:space="preserve">Cross-validation: 100-iteration Monte Carlo LGOCV confirms log-transformed models consistently outperform linear across all equation types</w:t>
      </w:r>
    </w:p>
    <w:bookmarkEnd w:id="89"/>
    <w:bookmarkStart w:id="90"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3"/>
        </w:numPr>
      </w:pPr>
      <w:r>
        <w:t xml:space="preserve">Log-transformation (CRITICAL): Achieves 90-95% of possible uncertainty reduction at zero marginal cost</w:t>
      </w:r>
    </w:p>
    <w:p>
      <w:pPr>
        <w:pStyle w:val="Compact"/>
        <w:numPr>
          <w:ilvl w:val="0"/>
          <w:numId w:val="1033"/>
        </w:numPr>
      </w:pPr>
      <w:r>
        <w:t xml:space="preserve">Species-specific equations: Reduces RMSE by 3-4 percentage points vs. genus-level, protecting $10-15k per million tCO₂e</w:t>
      </w:r>
    </w:p>
    <w:p>
      <w:pPr>
        <w:pStyle w:val="Compact"/>
        <w:numPr>
          <w:ilvl w:val="0"/>
          <w:numId w:val="1033"/>
        </w:numPr>
      </w:pPr>
      <w:r>
        <w:t xml:space="preserve">Stratified sampling: Ensures proportional representation across DBH classes, preventing bias from undersampling large trees</w:t>
      </w:r>
    </w:p>
    <w:p>
      <w:pPr>
        <w:pStyle w:val="Compact"/>
        <w:numPr>
          <w:ilvl w:val="0"/>
          <w:numId w:val="1033"/>
        </w:numPr>
      </w:pPr>
      <w:r>
        <w:t xml:space="preserve">Cross-validation: Quantifies out-of-sample error, avoiding overfitting and providing defensible uncertainty estimates</w:t>
      </w:r>
    </w:p>
    <w:p>
      <w:pPr>
        <w:pStyle w:val="Compact"/>
        <w:numPr>
          <w:ilvl w:val="0"/>
          <w:numId w:val="1033"/>
        </w:numPr>
      </w:pPr>
      <w:r>
        <w:t xml:space="preserve">Sample size adequacy: Minimum n≥50 trees per equation (Roxburgh et al. 2015), with stratification across ln(DBH) range</w:t>
      </w:r>
    </w:p>
    <w:p>
      <w:pPr>
        <w:pStyle w:val="Compact"/>
        <w:numPr>
          <w:ilvl w:val="0"/>
          <w:numId w:val="1033"/>
        </w:numPr>
      </w:pPr>
      <w:r>
        <w:t xml:space="preserve">Measurement precision: Target ±0.5 cm DBH error through calibrated instruments and trained field crews</w:t>
      </w:r>
    </w:p>
    <w:bookmarkEnd w:id="90"/>
    <w:bookmarkStart w:id="91"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1"/>
    <w:bookmarkStart w:id="92"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4"/>
        </w:numPr>
      </w:pPr>
      <w:r>
        <w:t xml:space="preserve">Equation rationale: Document geographic proximity, taxonomic specificity, DBH range coverage, sample size (Table from Section 1.2)</w:t>
      </w:r>
    </w:p>
    <w:p>
      <w:pPr>
        <w:pStyle w:val="Compact"/>
        <w:numPr>
          <w:ilvl w:val="0"/>
          <w:numId w:val="1034"/>
        </w:numPr>
      </w:pPr>
      <w:r>
        <w:t xml:space="preserve">Transformation justification: Demonstrate non-normality (Shapiro-Wilk), heteroscedasticity (Breusch-Pagan), RMSE reduction</w:t>
      </w:r>
    </w:p>
    <w:p>
      <w:pPr>
        <w:pStyle w:val="Compact"/>
        <w:numPr>
          <w:ilvl w:val="0"/>
          <w:numId w:val="1034"/>
        </w:numPr>
      </w:pPr>
      <w:r>
        <w:t xml:space="preserve">Cross-validation results: Report RMSE, relative RMSE, R², Shapiro-Wilk on residuals from Monte Carlo LGOCV</w:t>
      </w:r>
    </w:p>
    <w:p>
      <w:pPr>
        <w:pStyle w:val="Compact"/>
        <w:numPr>
          <w:ilvl w:val="0"/>
          <w:numId w:val="1034"/>
        </w:numPr>
      </w:pPr>
      <w:r>
        <w:t xml:space="preserve">Uncertainty calculation: Show ART Equation 11 application with half-width 90% CI derivation</w:t>
      </w:r>
    </w:p>
    <w:p>
      <w:pPr>
        <w:pStyle w:val="Compact"/>
        <w:numPr>
          <w:ilvl w:val="0"/>
          <w:numId w:val="1034"/>
        </w:numPr>
      </w:pPr>
      <w:r>
        <w:t xml:space="preserve">Stratification verification: Confirm proportional representation across DBH classes in calibration/validation splits</w:t>
      </w:r>
    </w:p>
    <w:bookmarkEnd w:id="92"/>
    <w:bookmarkStart w:id="93" w:name="next-steps"/>
    <w:p>
      <w:pPr>
        <w:pStyle w:val="Heading3"/>
      </w:pPr>
      <w:r>
        <w:t xml:space="preserve">Next Steps</w:t>
      </w:r>
    </w:p>
    <w:p>
      <w:pPr>
        <w:pStyle w:val="FirstParagraph"/>
      </w:pPr>
      <w:r>
        <w:t xml:space="preserve">Chapter 2: Emission Factors will address:</w:t>
      </w:r>
    </w:p>
    <w:p>
      <w:pPr>
        <w:pStyle w:val="Compact"/>
        <w:numPr>
          <w:ilvl w:val="0"/>
          <w:numId w:val="1035"/>
        </w:numPr>
      </w:pPr>
      <w:r>
        <w:t xml:space="preserve">IPCC default uncertainties (CH₄: ±30-40%, N₂O: ±50-60%)</w:t>
      </w:r>
    </w:p>
    <w:p>
      <w:pPr>
        <w:pStyle w:val="Compact"/>
        <w:numPr>
          <w:ilvl w:val="0"/>
          <w:numId w:val="1035"/>
        </w:numPr>
      </w:pPr>
      <w:r>
        <w:t xml:space="preserve">Combustion completeness and fire intensity effects</w:t>
      </w:r>
    </w:p>
    <w:p>
      <w:pPr>
        <w:pStyle w:val="Compact"/>
        <w:numPr>
          <w:ilvl w:val="0"/>
          <w:numId w:val="1035"/>
        </w:numPr>
      </w:pPr>
      <w:r>
        <w:t xml:space="preserve">Gas-specific emission ratios (CO₂, CH₄, N₂O)</w:t>
      </w:r>
    </w:p>
    <w:p>
      <w:pPr>
        <w:pStyle w:val="Compact"/>
        <w:numPr>
          <w:ilvl w:val="0"/>
          <w:numId w:val="1035"/>
        </w:numPr>
      </w:pPr>
      <w:r>
        <w:t xml:space="preserve">Field measurement protocols (FTIR, eddy covariance)</w:t>
      </w:r>
    </w:p>
    <w:bookmarkEnd w:id="93"/>
    <w:bookmarkEnd w:id="94"/>
    <w:bookmarkEnd w:id="95"/>
    <w:bookmarkStart w:id="172" w:name="emission-factors"/>
    <w:p>
      <w:pPr>
        <w:pStyle w:val="Heading1"/>
      </w:pPr>
      <w:r>
        <w:t xml:space="preserve">2. Emission Factors</w:t>
      </w:r>
    </w:p>
    <w:bookmarkStart w:id="96"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6"/>
        </w:numPr>
      </w:pPr>
      <w:r>
        <w:t xml:space="preserve">Distinguish between mineral soil stock-difference and organic soil flux-based accounting methodologies</w:t>
      </w:r>
    </w:p>
    <w:p>
      <w:pPr>
        <w:pStyle w:val="Compact"/>
        <w:numPr>
          <w:ilvl w:val="0"/>
          <w:numId w:val="1036"/>
        </w:numPr>
      </w:pPr>
      <w:r>
        <w:t xml:space="preserve">Select appropriate emission factors based on land use transitions, climate zones, and management practices</w:t>
      </w:r>
    </w:p>
    <w:p>
      <w:pPr>
        <w:pStyle w:val="Compact"/>
        <w:numPr>
          <w:ilvl w:val="0"/>
          <w:numId w:val="1036"/>
        </w:numPr>
      </w:pPr>
      <w:r>
        <w:t xml:space="preserve">Apply IPCC Tier 1 default values with correct stratification by soil type, agroecological zone, climate, and seasonality.</w:t>
      </w:r>
    </w:p>
    <w:p>
      <w:pPr>
        <w:pStyle w:val="Compact"/>
        <w:numPr>
          <w:ilvl w:val="0"/>
          <w:numId w:val="1036"/>
        </w:numPr>
      </w:pPr>
      <w:r>
        <w:t xml:space="preserve">Identify carbon crediting opportunities through improved land management scenarios</w:t>
      </w:r>
    </w:p>
    <w:p>
      <w:pPr>
        <w:pStyle w:val="Compact"/>
        <w:numPr>
          <w:ilvl w:val="0"/>
          <w:numId w:val="1036"/>
        </w:numPr>
      </w:pPr>
      <w:r>
        <w:t xml:space="preserve">Calculate soil organic carbon (SOC) and above-ground biomass (AGB) changes using standardized equations</w:t>
      </w:r>
    </w:p>
    <w:p>
      <w:pPr>
        <w:pStyle w:val="Compact"/>
        <w:numPr>
          <w:ilvl w:val="0"/>
          <w:numId w:val="1036"/>
        </w:numPr>
      </w:pPr>
      <w:r>
        <w:t xml:space="preserve">Implement safeguards against double-counting throughout all temporal and spatial domains.**</w:t>
      </w:r>
    </w:p>
    <w:bookmarkEnd w:id="96"/>
    <w:bookmarkStart w:id="99"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7"/>
        </w:numPr>
      </w:pPr>
      <w:r>
        <w:t xml:space="preserve">20-year SOC transition period: Replaces instantaneous oxidation assumptions, enabling credit streams over project duration</w:t>
      </w:r>
    </w:p>
    <w:p>
      <w:pPr>
        <w:pStyle w:val="Compact"/>
        <w:numPr>
          <w:ilvl w:val="0"/>
          <w:numId w:val="1037"/>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7"/>
        </w:numPr>
      </w:pPr>
      <w:r>
        <w:t xml:space="preserve">Expanded agroforestry parameterization: System-specific growth rates (G = 2.37-6.24 tC/ha/yr) differentiate silvopasture, silvoarable, and multistrata systems</w:t>
      </w:r>
    </w:p>
    <w:p>
      <w:pPr>
        <w:pStyle w:val="Compact"/>
        <w:numPr>
          <w:ilvl w:val="0"/>
          <w:numId w:val="1037"/>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7"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7"/>
    <w:bookmarkStart w:id="98"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8"/>
    <w:bookmarkEnd w:id="99"/>
    <w:bookmarkStart w:id="107" w:name="belowground-stock-change"/>
    <w:p>
      <w:pPr>
        <w:pStyle w:val="Heading2"/>
      </w:pPr>
      <w:r>
        <w:t xml:space="preserve">2.2 Belowground Stock Change</w:t>
      </w:r>
    </w:p>
    <w:bookmarkStart w:id="100"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8"/>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8"/>
        </w:numPr>
      </w:pPr>
      <w:r>
        <w:t xml:space="preserve">SOC₀ = Soil organic C stock in final year of transition period (tonnes C/ha)</w:t>
      </w:r>
    </w:p>
    <w:p>
      <w:pPr>
        <w:pStyle w:val="Compact"/>
        <w:numPr>
          <w:ilvl w:val="0"/>
          <w:numId w:val="1038"/>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8"/>
        </w:numPr>
      </w:pPr>
      <w:r>
        <w:t xml:space="preserve">D = Time dependence of stock change factors (default: 20 years)</w:t>
      </w:r>
    </w:p>
    <w:p>
      <w:pPr>
        <w:pStyle w:val="Compact"/>
        <w:numPr>
          <w:ilvl w:val="0"/>
          <w:numId w:val="1038"/>
        </w:numPr>
      </w:pPr>
      <w:r>
        <w:t xml:space="preserve">Area = Land area of stratum (hectares)</w:t>
      </w:r>
    </w:p>
    <w:bookmarkEnd w:id="100"/>
    <w:bookmarkStart w:id="106"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9"/>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9"/>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9"/>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9"/>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warning.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0"/>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0"/>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0"/>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1"/>
              </w:numPr>
            </w:pPr>
            <w:r>
              <w:t xml:space="preserve">“Average SOC stocks to 30 cm presented here are lower than those listed in the 2006 IPCC Guidelines.</w:t>
            </w:r>
          </w:p>
          <w:p>
            <w:pPr>
              <w:pStyle w:val="Compact"/>
              <w:numPr>
                <w:ilvl w:val="0"/>
                <w:numId w:val="1041"/>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1"/>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2"/>
              </w:numPr>
            </w:pPr>
            <w:r>
              <w:t xml:space="preserve">German Alps forest soils (Wiesmeier et al., 2014): Mean = 10.9 kg C/m², Median = 7.2 kg C/m² (34% difference)</w:t>
            </w:r>
          </w:p>
          <w:p>
            <w:pPr>
              <w:pStyle w:val="Compact"/>
              <w:numPr>
                <w:ilvl w:val="0"/>
                <w:numId w:val="1042"/>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4" w:name="south-america-bias"/>
          <w:p>
            <w:pPr>
              <w:pStyle w:val="Heading3"/>
            </w:pPr>
            <w:r>
              <w:t xml:space="preserve">South America Bias</w:t>
            </w:r>
          </w:p>
          <w:p>
            <w:pPr>
              <w:numPr>
                <w:ilvl w:val="0"/>
                <w:numId w:val="1043"/>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3"/>
              </w:numPr>
            </w:pPr>
            <w:r>
              <w:t xml:space="preserve">Regional Sampling Gaps:</w:t>
            </w:r>
          </w:p>
          <w:p>
            <w:pPr>
              <w:pStyle w:val="Compact"/>
              <w:numPr>
                <w:ilvl w:val="1"/>
                <w:numId w:val="1044"/>
              </w:numPr>
            </w:pPr>
            <w:r>
              <w:t xml:space="preserve">High-Andean páramo: &lt;50 profiles in WISE database</w:t>
            </w:r>
          </w:p>
          <w:p>
            <w:pPr>
              <w:pStyle w:val="Compact"/>
              <w:numPr>
                <w:ilvl w:val="1"/>
                <w:numId w:val="1044"/>
              </w:numPr>
            </w:pPr>
            <w:r>
              <w:t xml:space="preserve">Patagonian steppe: Underrepresented relative to area</w:t>
            </w:r>
          </w:p>
          <w:p>
            <w:pPr>
              <w:pStyle w:val="Compact"/>
              <w:numPr>
                <w:ilvl w:val="1"/>
                <w:numId w:val="1044"/>
              </w:numPr>
            </w:pPr>
            <w:r>
              <w:t xml:space="preserve">Chaco dry forests: Sparse coverage, dominated by Argentine samples</w:t>
            </w:r>
          </w:p>
          <w:p>
            <w:pPr>
              <w:pStyle w:val="Compact"/>
              <w:numPr>
                <w:ilvl w:val="1"/>
                <w:numId w:val="1044"/>
              </w:numPr>
            </w:pPr>
            <w:r>
              <w:t xml:space="preserve">Amazon deep soils: Most profiles limited to 0-30cm</w:t>
            </w:r>
          </w:p>
          <w:p>
            <w:pPr>
              <w:numPr>
                <w:ilvl w:val="0"/>
                <w:numId w:val="1043"/>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3"/>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3"/>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4"/>
          <w:bookmarkStart w:id="105" w:name="refinements-status"/>
          <w:p>
            <w:pPr>
              <w:pStyle w:val="Heading3"/>
            </w:pPr>
            <w:r>
              <w:t xml:space="preserve">2019 Refinements Status</w:t>
            </w:r>
          </w:p>
          <w:p>
            <w:pPr>
              <w:pStyle w:val="FirstParagraph"/>
            </w:pPr>
            <w:r>
              <w:t xml:space="preserve">Tier 1 Improvements:</w:t>
            </w:r>
          </w:p>
          <w:p>
            <w:pPr>
              <w:pStyle w:val="Compact"/>
              <w:numPr>
                <w:ilvl w:val="0"/>
                <w:numId w:val="1045"/>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5"/>
              </w:numPr>
            </w:pPr>
            <w:r>
              <w:t xml:space="preserve">Agroforestry parameters (Cardinael et al., 2018),</w:t>
            </w:r>
          </w:p>
          <w:p>
            <w:pPr>
              <w:pStyle w:val="Compact"/>
              <w:numPr>
                <w:ilvl w:val="0"/>
                <w:numId w:val="1045"/>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6"/>
              </w:numPr>
            </w:pPr>
            <w:r>
              <w:t xml:space="preserve">SOC</w:t>
            </w:r>
            <w:r>
              <w:rPr>
                <w:vertAlign w:val="subscript"/>
              </w:rPr>
              <w:t xml:space="preserve">REF</w:t>
            </w:r>
            <w:r>
              <w:t xml:space="preserve"> </w:t>
            </w:r>
            <w:r>
              <w:t xml:space="preserve">values (still based on WISE database)</w:t>
            </w:r>
          </w:p>
          <w:p>
            <w:pPr>
              <w:pStyle w:val="Compact"/>
              <w:numPr>
                <w:ilvl w:val="0"/>
                <w:numId w:val="1046"/>
              </w:numPr>
            </w:pPr>
            <w:r>
              <w:t xml:space="preserve">Arithmetic mean approach (medians not adopted</w:t>
            </w:r>
          </w:p>
          <w:p>
            <w:pPr>
              <w:pStyle w:val="Compact"/>
              <w:numPr>
                <w:ilvl w:val="0"/>
                <w:numId w:val="1046"/>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5"/>
    <w:bookmarkEnd w:id="106"/>
    <w:bookmarkEnd w:id="107"/>
    <w:bookmarkStart w:id="115"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1"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8">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important.png" id="11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7"/>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7"/>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7"/>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1"/>
    <w:bookmarkStart w:id="114"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8">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warning.png" id="11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8"/>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8"/>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4"/>
    <w:bookmarkEnd w:id="115"/>
    <w:bookmarkStart w:id="122"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1"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quarto/share/formats/docx/tip.png" id="11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1"/>
    <w:bookmarkEnd w:id="122"/>
    <w:bookmarkStart w:id="124"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3"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3"/>
    <w:bookmarkEnd w:id="124"/>
    <w:bookmarkStart w:id="130"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5">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important.png" id="12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30"/>
    <w:bookmarkStart w:id="141" w:name="aboveground-stock-change"/>
    <w:p>
      <w:pPr>
        <w:pStyle w:val="Heading2"/>
      </w:pPr>
      <w:r>
        <w:t xml:space="preserve">2.7. Aboveground Stock Change</w:t>
      </w:r>
    </w:p>
    <w:bookmarkStart w:id="134"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3"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3"/>
    <w:bookmarkEnd w:id="134"/>
    <w:bookmarkStart w:id="137" w:name="silvopastoral-systems"/>
    <w:p>
      <w:pPr>
        <w:pStyle w:val="Heading3"/>
      </w:pPr>
      <w:r>
        <w:t xml:space="preserve">Silvopastoral Systems</w:t>
      </w:r>
    </w:p>
    <w:p>
      <w:pPr>
        <w:numPr>
          <w:ilvl w:val="0"/>
          <w:numId w:val="1049"/>
        </w:numPr>
      </w:pPr>
      <w:r>
        <w:t xml:space="preserve">Silvoarable systems offer the highest long-term carbon accumulation (7.86 tC/ha/yr), equivalent to 28.8 tCO₂e/ha/yr—ideal for jurisdictions with strong silvicultural capacity</w:t>
      </w:r>
    </w:p>
    <w:p>
      <w:pPr>
        <w:numPr>
          <w:ilvl w:val="0"/>
          <w:numId w:val="1049"/>
        </w:numPr>
      </w:pPr>
      <w:r>
        <w:t xml:space="preserve">Fallow systems have rapid accumulation rates (4.42 tC/ha/yr) but short harvest cycles (5 years)—useful for bridging short-term credit gaps but require frequent re-establishment</w:t>
      </w:r>
    </w:p>
    <w:p>
      <w:pPr>
        <w:numPr>
          <w:ilvl w:val="0"/>
          <w:numId w:val="1049"/>
        </w:numPr>
      </w:pPr>
      <w:r>
        <w:t xml:space="preserve">Multistrata coffee/cacao (3.25 tC/ha/yr) balances commodity production with carbon credits, making it economically attractive where markets exist</w:t>
      </w:r>
    </w:p>
    <w:p>
      <w:pPr>
        <w:numPr>
          <w:ilvl w:val="0"/>
          <w:numId w:val="1049"/>
        </w:numPr>
      </w:pPr>
      <w:r>
        <w:t xml:space="preserve">Below-ground accumulation adds 21-27% to total carbon gains—always include root biomass in credit calculations</w:t>
      </w:r>
    </w:p>
    <w:bookmarkStart w:id="135"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5"/>
    <w:bookmarkStart w:id="136"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6"/>
    <w:bookmarkEnd w:id="137"/>
    <w:bookmarkStart w:id="140"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Applications/quarto/share/formats/docx/important.png" id="1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40"/>
    <w:bookmarkEnd w:id="141"/>
    <w:bookmarkStart w:id="144"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important.png" id="1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4"/>
    <w:bookmarkStart w:id="152"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5"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5"/>
    <w:bookmarkStart w:id="146"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6"/>
    <w:bookmarkStart w:id="147"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7"/>
    <w:bookmarkStart w:id="148"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8"/>
    <w:bookmarkStart w:id="151"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Applications/quarto/share/formats/docx/tip.png" id="15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0"/>
              </w:numPr>
            </w:pPr>
            <w:r>
              <w:t xml:space="preserve">Portfolio approach combining both young regeneration (high annual credits) and mature forests (high stock, low leakage risk).</w:t>
            </w:r>
          </w:p>
        </w:tc>
      </w:tr>
    </w:tbl>
    <w:p>
      <w:r>
        <w:pict>
          <v:rect style="width:0;height:1.5pt" o:hralign="center" o:hrstd="t" o:hr="t"/>
        </w:pict>
      </w:r>
    </w:p>
    <w:bookmarkEnd w:id="151"/>
    <w:bookmarkEnd w:id="152"/>
    <w:bookmarkStart w:id="158" w:name="worked-examples"/>
    <w:p>
      <w:pPr>
        <w:pStyle w:val="Heading2"/>
      </w:pPr>
      <w:r>
        <w:t xml:space="preserve">2.10 Worked Examples</w:t>
      </w:r>
    </w:p>
    <w:bookmarkStart w:id="153"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1"/>
        </w:numPr>
      </w:pPr>
      <w:r>
        <w:t xml:space="preserve">Soil Type: Low Activity Clay (LAC)</w:t>
      </w:r>
    </w:p>
    <w:p>
      <w:pPr>
        <w:pStyle w:val="Compact"/>
        <w:numPr>
          <w:ilvl w:val="0"/>
          <w:numId w:val="1051"/>
        </w:numPr>
      </w:pPr>
      <w:r>
        <w:t xml:space="preserve">Climate: Tropical Moist</w:t>
      </w:r>
    </w:p>
    <w:p>
      <w:pPr>
        <w:pStyle w:val="Compact"/>
        <w:numPr>
          <w:ilvl w:val="0"/>
          <w:numId w:val="1051"/>
        </w:numPr>
      </w:pPr>
      <w:r>
        <w:t xml:space="preserve">SOC</w:t>
      </w:r>
      <w:r>
        <w:rPr>
          <w:vertAlign w:val="subscript"/>
        </w:rPr>
        <w:t xml:space="preserve">REF</w:t>
      </w:r>
      <w:r>
        <w:t xml:space="preserve">: 38 tC/ha (Table 2.7)</w:t>
      </w:r>
    </w:p>
    <w:p>
      <w:pPr>
        <w:pStyle w:val="Compact"/>
        <w:numPr>
          <w:ilvl w:val="0"/>
          <w:numId w:val="1051"/>
        </w:numPr>
      </w:pPr>
      <w:r>
        <w:t xml:space="preserve">Management: Severely degraded (F</w:t>
      </w:r>
      <w:r>
        <w:rPr>
          <w:vertAlign w:val="subscript"/>
        </w:rPr>
        <w:t xml:space="preserve">MG</w:t>
      </w:r>
      <w:r>
        <w:t xml:space="preserve"> </w:t>
      </w:r>
      <w:r>
        <w:t xml:space="preserve">= 0.70)</w:t>
      </w:r>
    </w:p>
    <w:p>
      <w:pPr>
        <w:pStyle w:val="Compact"/>
        <w:numPr>
          <w:ilvl w:val="0"/>
          <w:numId w:val="1051"/>
        </w:numPr>
      </w:pPr>
      <w:r>
        <w:t xml:space="preserve">Input Level: Nominal (F</w:t>
      </w:r>
      <w:r>
        <w:rPr>
          <w:vertAlign w:val="subscript"/>
        </w:rPr>
        <w:t xml:space="preserve">I</w:t>
      </w:r>
      <w:r>
        <w:t xml:space="preserve"> </w:t>
      </w:r>
      <w:r>
        <w:t xml:space="preserve">= 1.0)</w:t>
      </w:r>
    </w:p>
    <w:p>
      <w:pPr>
        <w:pStyle w:val="Compact"/>
        <w:numPr>
          <w:ilvl w:val="0"/>
          <w:numId w:val="1051"/>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2"/>
        </w:numPr>
      </w:pPr>
      <w:r>
        <w:t xml:space="preserve">Management: Improved tropical grassland (F</w:t>
      </w:r>
      <w:r>
        <w:rPr>
          <w:vertAlign w:val="subscript"/>
        </w:rPr>
        <w:t xml:space="preserve">MG</w:t>
      </w:r>
      <w:r>
        <w:t xml:space="preserve"> </w:t>
      </w:r>
      <w:r>
        <w:t xml:space="preserve">= 1.17)</w:t>
      </w:r>
    </w:p>
    <w:p>
      <w:pPr>
        <w:pStyle w:val="Compact"/>
        <w:numPr>
          <w:ilvl w:val="0"/>
          <w:numId w:val="1052"/>
        </w:numPr>
      </w:pPr>
      <w:r>
        <w:t xml:space="preserve">Input Level: High with manure (F</w:t>
      </w:r>
      <w:r>
        <w:rPr>
          <w:vertAlign w:val="subscript"/>
        </w:rPr>
        <w:t xml:space="preserve">I</w:t>
      </w:r>
      <w:r>
        <w:t xml:space="preserve"> </w:t>
      </w:r>
      <w:r>
        <w:t xml:space="preserve">= 1.11)</w:t>
      </w:r>
    </w:p>
    <w:p>
      <w:pPr>
        <w:pStyle w:val="Compact"/>
        <w:numPr>
          <w:ilvl w:val="0"/>
          <w:numId w:val="1052"/>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3"/>
    <w:bookmarkStart w:id="156"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3"/>
        </w:numPr>
      </w:pPr>
      <w:r>
        <w:t xml:space="preserve">Soil: LAC (SOC</w:t>
      </w:r>
      <w:r>
        <w:rPr>
          <w:vertAlign w:val="subscript"/>
        </w:rPr>
        <w:t xml:space="preserve">REF</w:t>
      </w:r>
      <w:r>
        <w:t xml:space="preserve"> </w:t>
      </w:r>
      <w:r>
        <w:t xml:space="preserve">= 38 tC/ha)</w:t>
      </w:r>
    </w:p>
    <w:p>
      <w:pPr>
        <w:pStyle w:val="Compact"/>
        <w:numPr>
          <w:ilvl w:val="0"/>
          <w:numId w:val="1053"/>
        </w:numPr>
      </w:pPr>
      <w:r>
        <w:t xml:space="preserve">Biomass: 88 t DM/ha (IPCC default for tropical moist secondary forest)</w:t>
      </w:r>
    </w:p>
    <w:p>
      <w:pPr>
        <w:pStyle w:val="Compact"/>
        <w:numPr>
          <w:ilvl w:val="0"/>
          <w:numId w:val="1053"/>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4"/>
        </w:numPr>
      </w:pPr>
      <w:r>
        <w:t xml:space="preserve">F</w:t>
      </w:r>
      <w:r>
        <w:rPr>
          <w:vertAlign w:val="subscript"/>
        </w:rPr>
        <w:t xml:space="preserve">LU</w:t>
      </w:r>
      <w:r>
        <w:t xml:space="preserve">: 0.83 (long-term cultivated)</w:t>
      </w:r>
    </w:p>
    <w:p>
      <w:pPr>
        <w:pStyle w:val="Compact"/>
        <w:numPr>
          <w:ilvl w:val="0"/>
          <w:numId w:val="1054"/>
        </w:numPr>
      </w:pPr>
      <w:r>
        <w:t xml:space="preserve">F</w:t>
      </w:r>
      <w:r>
        <w:rPr>
          <w:vertAlign w:val="subscript"/>
        </w:rPr>
        <w:t xml:space="preserve">MG</w:t>
      </w:r>
      <w:r>
        <w:t xml:space="preserve">: 1.10 (no-till)</w:t>
      </w:r>
    </w:p>
    <w:p>
      <w:pPr>
        <w:pStyle w:val="Compact"/>
        <w:numPr>
          <w:ilvl w:val="0"/>
          <w:numId w:val="1054"/>
        </w:numPr>
      </w:pPr>
      <w:r>
        <w:t xml:space="preserve">F</w:t>
      </w:r>
      <w:r>
        <w:rPr>
          <w:vertAlign w:val="subscript"/>
        </w:rPr>
        <w:t xml:space="preserve">I</w:t>
      </w:r>
      <w:r>
        <w:t xml:space="preserve">: 1.04 (high inputs, no manure)</w:t>
      </w:r>
    </w:p>
    <w:p>
      <w:pPr>
        <w:pStyle w:val="Compact"/>
        <w:numPr>
          <w:ilvl w:val="0"/>
          <w:numId w:val="1054"/>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quarto/share/formats/docx/important.png" id="15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5"/>
              </w:numPr>
            </w:pPr>
            <w:r>
              <w:t xml:space="preserve">Applying and documenting maximum conservation practices when conversion is necessary</w:t>
            </w:r>
          </w:p>
          <w:p>
            <w:pPr>
              <w:pStyle w:val="Compact"/>
              <w:numPr>
                <w:ilvl w:val="0"/>
                <w:numId w:val="1055"/>
              </w:numPr>
            </w:pPr>
            <w:r>
              <w:t xml:space="preserve">Prioritizing conversion of already-degraded lands rather than forest</w:t>
            </w:r>
          </w:p>
        </w:tc>
      </w:tr>
    </w:tbl>
    <w:bookmarkEnd w:id="156"/>
    <w:bookmarkStart w:id="157"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6"/>
        </w:numPr>
      </w:pPr>
      <w:r>
        <w:t xml:space="preserve">High baseline threat of avoided deforestation scenario</w:t>
      </w:r>
    </w:p>
    <w:p>
      <w:pPr>
        <w:pStyle w:val="Compact"/>
        <w:numPr>
          <w:ilvl w:val="0"/>
          <w:numId w:val="1056"/>
        </w:numPr>
      </w:pPr>
      <w:r>
        <w:t xml:space="preserve">Continued rapid growth rate of protected land at 5.9 t DM/ha/yr.</w:t>
      </w:r>
    </w:p>
    <w:p>
      <w:pPr>
        <w:pStyle w:val="Compact"/>
        <w:numPr>
          <w:ilvl w:val="0"/>
          <w:numId w:val="1056"/>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7"/>
    <w:bookmarkEnd w:id="158"/>
    <w:bookmarkStart w:id="166" w:name="double-counting-risks"/>
    <w:p>
      <w:pPr>
        <w:pStyle w:val="Heading2"/>
      </w:pPr>
      <w:r>
        <w:t xml:space="preserve">2.11 Double-Counting Risks</w:t>
      </w:r>
    </w:p>
    <w:bookmarkStart w:id="161" w:name="double-counting-soc-timelines"/>
    <w:p>
      <w:pPr>
        <w:pStyle w:val="Heading3"/>
      </w:pPr>
      <w:r>
        <w:t xml:space="preserve">Double-Counting SOC Timelines</w:t>
      </w:r>
    </w:p>
    <w:p>
      <w:pPr>
        <w:pStyle w:val="Compact"/>
        <w:numPr>
          <w:ilvl w:val="0"/>
          <w:numId w:val="1057"/>
        </w:numPr>
      </w:pPr>
      <w:r>
        <w:t xml:space="preserve">Problem: Legacy emissions from historical land conversion overlap with new management activity credits</w:t>
      </w:r>
    </w:p>
    <w:p>
      <w:pPr>
        <w:pStyle w:val="Compact"/>
        <w:numPr>
          <w:ilvl w:val="0"/>
          <w:numId w:val="1057"/>
        </w:numPr>
      </w:pPr>
      <w:r>
        <w:t xml:space="preserve">Rule: Each hectare reports in only one land category per reporting year</w:t>
      </w:r>
    </w:p>
    <w:p>
      <w:pPr>
        <w:pStyle w:val="FirstParagraph"/>
      </w:pPr>
      <w:r>
        <w:t xml:space="preserve">Safeguards:</w:t>
      </w:r>
    </w:p>
    <w:p>
      <w:pPr>
        <w:pStyle w:val="Compact"/>
        <w:numPr>
          <w:ilvl w:val="0"/>
          <w:numId w:val="1058"/>
        </w:numPr>
      </w:pPr>
      <w:r>
        <w:t xml:space="preserve">One Category Per Year: During 20-year SOC transition period, attribute ALL stock changes to the end-use land category, not the category of origin</w:t>
      </w:r>
    </w:p>
    <w:p>
      <w:pPr>
        <w:pStyle w:val="Compact"/>
        <w:numPr>
          <w:ilvl w:val="0"/>
          <w:numId w:val="1058"/>
        </w:numPr>
      </w:pPr>
      <w:r>
        <w:t xml:space="preserve">Cohort Tracking: Maintain records of conversion year for each hectare to calculate remaining transition period</w:t>
      </w:r>
    </w:p>
    <w:p>
      <w:pPr>
        <w:pStyle w:val="Compact"/>
        <w:numPr>
          <w:ilvl w:val="0"/>
          <w:numId w:val="1058"/>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Applications/quarto/share/formats/docx/warning.png" id="16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1"/>
    <w:bookmarkStart w:id="162" w:name="tracking-site-specific-timelines"/>
    <w:p>
      <w:pPr>
        <w:pStyle w:val="Heading3"/>
      </w:pPr>
      <w:r>
        <w:t xml:space="preserve">Tracking Site-Specific Timelines</w:t>
      </w:r>
    </w:p>
    <w:p>
      <w:pPr>
        <w:pStyle w:val="Compact"/>
        <w:numPr>
          <w:ilvl w:val="0"/>
          <w:numId w:val="1059"/>
        </w:numPr>
      </w:pPr>
      <w:r>
        <w:t xml:space="preserve">Problem: Claiming infinite biomass accumulation in systems with periodic harvest</w:t>
      </w:r>
    </w:p>
    <w:p>
      <w:pPr>
        <w:pStyle w:val="Compact"/>
        <w:numPr>
          <w:ilvl w:val="0"/>
          <w:numId w:val="1059"/>
        </w:numPr>
      </w:pPr>
      <w:r>
        <w:t xml:space="preserve">Rule: Agroforestry credits must account for harvest cycle and removal</w:t>
      </w:r>
    </w:p>
    <w:p>
      <w:pPr>
        <w:pStyle w:val="FirstParagraph"/>
      </w:pPr>
      <w:r>
        <w:t xml:space="preserve">Safeguards:</w:t>
      </w:r>
    </w:p>
    <w:p>
      <w:pPr>
        <w:pStyle w:val="Compact"/>
        <w:numPr>
          <w:ilvl w:val="0"/>
          <w:numId w:val="1060"/>
        </w:numPr>
      </w:pPr>
      <w:r>
        <w:t xml:space="preserve">Respect Default Harvest Cycles (Table 3.2):</w:t>
      </w:r>
    </w:p>
    <w:p>
      <w:pPr>
        <w:pStyle w:val="Compact"/>
        <w:numPr>
          <w:ilvl w:val="1"/>
          <w:numId w:val="1061"/>
        </w:numPr>
      </w:pPr>
      <w:r>
        <w:t xml:space="preserve">Tropical agroforestry: 20 years (except fallow: 5 years)</w:t>
      </w:r>
    </w:p>
    <w:p>
      <w:pPr>
        <w:pStyle w:val="Compact"/>
        <w:numPr>
          <w:ilvl w:val="1"/>
          <w:numId w:val="1061"/>
        </w:numPr>
      </w:pPr>
      <w:r>
        <w:t xml:space="preserve">Temperate agroforestry: 30 years</w:t>
      </w:r>
    </w:p>
    <w:p>
      <w:pPr>
        <w:pStyle w:val="Compact"/>
        <w:numPr>
          <w:ilvl w:val="0"/>
          <w:numId w:val="1060"/>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2"/>
    <w:bookmarkStart w:id="165"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tip.png" id="16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5"/>
    <w:bookmarkEnd w:id="166"/>
    <w:bookmarkStart w:id="168" w:name="uncertainty-quantification"/>
    <w:p>
      <w:pPr>
        <w:pStyle w:val="Heading2"/>
      </w:pPr>
      <w:r>
        <w:t xml:space="preserve">2.12 Uncertainty Quantification</w:t>
      </w:r>
    </w:p>
    <w:bookmarkStart w:id="167"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7"/>
    <w:bookmarkEnd w:id="168"/>
    <w:bookmarkStart w:id="169"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9"/>
    <w:bookmarkStart w:id="170"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2"/>
        </w:numPr>
      </w:pPr>
      <w:r>
        <w:t xml:space="preserve">Verify Soil Type First: Distinguish mineral vs. organic soils before selecting accounting method—this is the most fundamental decision</w:t>
      </w:r>
    </w:p>
    <w:p>
      <w:pPr>
        <w:numPr>
          <w:ilvl w:val="0"/>
          <w:numId w:val="1062"/>
        </w:numPr>
      </w:pPr>
      <w:r>
        <w:t xml:space="preserve">Stratify Appropriately: Match climate zone, soil type, and management class to IPCC lookup tables—incorrect stratification invalidates results</w:t>
      </w:r>
    </w:p>
    <w:p>
      <w:pPr>
        <w:numPr>
          <w:ilvl w:val="0"/>
          <w:numId w:val="1062"/>
        </w:numPr>
      </w:pPr>
      <w:r>
        <w:t xml:space="preserve">Document Baseline Rigorously: Large SOC or biomass changes require strong evidence of degraded initial conditions to justify additionality</w:t>
      </w:r>
    </w:p>
    <w:p>
      <w:pPr>
        <w:numPr>
          <w:ilvl w:val="0"/>
          <w:numId w:val="1062"/>
        </w:numPr>
      </w:pPr>
      <w:r>
        <w:t xml:space="preserve">Apply Harvest Cycles: Agroforestry credits must account for periodic biomass removal—do not claim indefinite accumulation</w:t>
      </w:r>
    </w:p>
    <w:p>
      <w:pPr>
        <w:numPr>
          <w:ilvl w:val="0"/>
          <w:numId w:val="1062"/>
        </w:numPr>
      </w:pPr>
      <w:r>
        <w:t xml:space="preserve">Implement Safeguards: Prevent double-counting through temporal tracking, pool separation, and conservative interpretation of overlapping activities</w:t>
      </w:r>
    </w:p>
    <w:p>
      <w:pPr>
        <w:numPr>
          <w:ilvl w:val="0"/>
          <w:numId w:val="1062"/>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3"/>
        </w:numPr>
      </w:pPr>
      <w:r>
        <w:t xml:space="preserve">Quantified Uncertainty for each major parameter</w:t>
      </w:r>
    </w:p>
    <w:p>
      <w:pPr>
        <w:pStyle w:val="Compact"/>
        <w:numPr>
          <w:ilvl w:val="0"/>
          <w:numId w:val="1063"/>
        </w:numPr>
      </w:pPr>
      <w:r>
        <w:t xml:space="preserve">Propagated Total Uncertainty for final emission/removal estimates</w:t>
      </w:r>
    </w:p>
    <w:p>
      <w:pPr>
        <w:pStyle w:val="Compact"/>
        <w:numPr>
          <w:ilvl w:val="0"/>
          <w:numId w:val="1063"/>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70"/>
    <w:bookmarkStart w:id="171" w:name="next-steps-1"/>
    <w:p>
      <w:pPr>
        <w:pStyle w:val="Heading2"/>
      </w:pPr>
      <w:r>
        <w:t xml:space="preserve">2.15 Next Steps</w:t>
      </w:r>
    </w:p>
    <w:p>
      <w:pPr>
        <w:pStyle w:val="FirstParagraph"/>
      </w:pPr>
      <w:r>
        <w:t xml:space="preserve">Practitioners should now be prepared to:</w:t>
      </w:r>
    </w:p>
    <w:p>
      <w:pPr>
        <w:pStyle w:val="Compact"/>
        <w:numPr>
          <w:ilvl w:val="0"/>
          <w:numId w:val="1064"/>
        </w:numPr>
      </w:pPr>
      <w:r>
        <w:t xml:space="preserve">Select appropriate emission factors from IPCC 2019 Tier 1 values.</w:t>
      </w:r>
    </w:p>
    <w:p>
      <w:pPr>
        <w:pStyle w:val="Compact"/>
        <w:numPr>
          <w:ilvl w:val="0"/>
          <w:numId w:val="1064"/>
        </w:numPr>
      </w:pPr>
      <w:r>
        <w:t xml:space="preserve">Calculate SOC and biomass changes using standardized equations</w:t>
      </w:r>
    </w:p>
    <w:p>
      <w:pPr>
        <w:pStyle w:val="Compact"/>
        <w:numPr>
          <w:ilvl w:val="0"/>
          <w:numId w:val="1064"/>
        </w:numPr>
      </w:pPr>
      <w:r>
        <w:t xml:space="preserve">Identify strategic opportunities for credit generation</w:t>
      </w:r>
    </w:p>
    <w:p>
      <w:pPr>
        <w:pStyle w:val="Compact"/>
        <w:numPr>
          <w:ilvl w:val="0"/>
          <w:numId w:val="1064"/>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1"/>
    <w:bookmarkEnd w:id="172"/>
    <w:bookmarkStart w:id="221" w:name="activity-data"/>
    <w:p>
      <w:pPr>
        <w:pStyle w:val="Heading1"/>
      </w:pPr>
      <w:r>
        <w:t xml:space="preserve">3. Activity Data</w:t>
      </w:r>
    </w:p>
    <w:bookmarkStart w:id="174"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p>
      <w:pPr>
        <w:pStyle w:val="BodyText"/>
      </w:pPr>
      <w:r>
        <w:t xml:space="preserve">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5"/>
        </w:numPr>
      </w:pPr>
      <w:r>
        <w:t xml:space="preserve">Data Cube Architecture: Spatiotemporal array structures for satellite time series</w:t>
      </w:r>
    </w:p>
    <w:p>
      <w:pPr>
        <w:pStyle w:val="Compact"/>
        <w:numPr>
          <w:ilvl w:val="0"/>
          <w:numId w:val="1065"/>
        </w:numPr>
      </w:pPr>
      <w:r>
        <w:t xml:space="preserve">IPCC Monitoring Approaches: Transition matrices and spatial explicitness (Approaches 1-3)</w:t>
      </w:r>
    </w:p>
    <w:p>
      <w:pPr>
        <w:pStyle w:val="Compact"/>
        <w:numPr>
          <w:ilvl w:val="0"/>
          <w:numId w:val="1065"/>
        </w:numPr>
      </w:pPr>
      <w:r>
        <w:t xml:space="preserve">Pixel-Level Uncertainty Tracking: Model residuals for spatial error mapping</w:t>
      </w:r>
    </w:p>
    <w:p>
      <w:pPr>
        <w:pStyle w:val="Compact"/>
        <w:numPr>
          <w:ilvl w:val="0"/>
          <w:numId w:val="1065"/>
        </w:numPr>
      </w:pPr>
      <w:r>
        <w:t xml:space="preserve">Random Forest Optimization: Monte Carlo calibration of classification algorithms</w:t>
      </w:r>
    </w:p>
    <w:p>
      <w:pPr>
        <w:pStyle w:val="Compact"/>
        <w:numPr>
          <w:ilvl w:val="0"/>
          <w:numId w:val="1065"/>
        </w:numPr>
      </w:pPr>
      <w:r>
        <w:t xml:space="preserve">Accuracy Assessment: Confusion matrices and validation metrics</w:t>
      </w:r>
    </w:p>
    <w:bookmarkStart w:id="173"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br/>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"giscoR"</w:t>
      </w:r>
      <w:r>
        <w:rPr>
          <w:rStyle w:val="NormalTok"/>
        </w:rPr>
        <w:t xml:space="preserve">, </w:t>
      </w:r>
      <w:r>
        <w:br/>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"leafem"</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br/>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br/>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br/>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br/>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br/>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br/>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3"/>
    <w:bookmarkEnd w:id="174"/>
    <w:bookmarkStart w:id="217" w:name="time-series-data-cubes"/>
    <w:p>
      <w:pPr>
        <w:pStyle w:val="Heading2"/>
      </w:pPr>
      <w:r>
        <w:t xml:space="preserve">3.1 Time Series Data Cubes</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6"/>
        </w:numPr>
      </w:pPr>
      <w:r>
        <w:t xml:space="preserve">Spatial dimensions: Longitude (x) and latitude (y)</w:t>
      </w:r>
    </w:p>
    <w:p>
      <w:pPr>
        <w:pStyle w:val="Compact"/>
        <w:numPr>
          <w:ilvl w:val="0"/>
          <w:numId w:val="1066"/>
        </w:numPr>
      </w:pPr>
      <w:r>
        <w:t xml:space="preserve">Temporal dimension: Observation dates (t)</w:t>
      </w:r>
    </w:p>
    <w:p>
      <w:pPr>
        <w:pStyle w:val="Compact"/>
        <w:numPr>
          <w:ilvl w:val="0"/>
          <w:numId w:val="1066"/>
        </w:numPr>
      </w:pPr>
      <w:r>
        <w:t xml:space="preserve">Spectral dimension: Sensor bands (λ)</w:t>
      </w:r>
    </w:p>
    <w:p>
      <w:pPr>
        <w:pStyle w:val="Compact"/>
        <w:numPr>
          <w:ilvl w:val="0"/>
          <w:numId w:val="1066"/>
        </w:numPr>
      </w:pPr>
      <w:r>
        <w:t xml:space="preserve">Attributes: Land cover class, uncertainty metrics, model residuals</w:t>
      </w:r>
    </w:p>
    <w:p>
      <w:pPr>
        <w:pStyle w:val="FirstParagraph"/>
      </w:pPr>
      <w:r>
        <w:t xml:space="preserve">In this section (3.1), we demonstrate using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raster-based, time series workflows that integrate machine learning classification with data cube management operations</w:t>
      </w:r>
      <w:r>
        <w:t xml:space="preserve"> </w:t>
      </w:r>
      <w:r>
        <w:t xml:space="preserve">(Appel &amp; Pebesma, 2019a; Simoes et al., 2021b)</w:t>
      </w:r>
      <w:r>
        <w:t xml:space="preserve">. This approach to time series analysis is particularly useful for REDD+ workflows that require direct integration of classification, validation, and uncertainty-based optimization</w:t>
      </w:r>
      <w:r>
        <w:t xml:space="preserve"> </w:t>
      </w:r>
      <w:r>
        <w:t xml:space="preserve">(Appel &amp; Pebesma, 2019b)</w:t>
      </w:r>
      <w:r>
        <w:t xml:space="preserve">.</w:t>
      </w:r>
    </w:p>
    <w:bookmarkStart w:id="180" w:name="assemble-data-cube"/>
    <w:p>
      <w:pPr>
        <w:pStyle w:val="Heading3"/>
      </w:pPr>
      <w:r>
        <w:t xml:space="preserve">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5"/>
      </w:r>
      <w:r>
        <w:t xml:space="preserve"> </w:t>
      </w:r>
      <w:r>
        <w:t xml:space="preserve">to Analysis-Ready-Data (ARD) collections via STAC protocols (</w:t>
      </w:r>
      <w:hyperlink r:id="rId176">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8"/>
        </w:numPr>
      </w:pPr>
      <w:r>
        <w:t xml:space="preserve">Spatial harmonization: Band-specific resolutions require harmonization to common grid avoiding edge anomalies and gaps</w:t>
      </w:r>
    </w:p>
    <w:p>
      <w:pPr>
        <w:pStyle w:val="Compact"/>
        <w:numPr>
          <w:ilvl w:val="0"/>
          <w:numId w:val="1068"/>
        </w:numPr>
      </w:pPr>
      <w:r>
        <w:t xml:space="preserve">Temporal harmonization: Revisit cycles vary due to orbital geometry, platform scheduling, and atmospheric conditions</w:t>
      </w:r>
    </w:p>
    <w:p>
      <w:pPr>
        <w:pStyle w:val="Compact"/>
        <w:numPr>
          <w:ilvl w:val="0"/>
          <w:numId w:val="1068"/>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9"/>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9"/>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tip.png" id="17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0"/>
              </w:numPr>
            </w:pPr>
            <w:r>
              <w:t xml:space="preserve">Stratification: Validation samples must account for tile boundaries to avoid spatial clustering</w:t>
            </w:r>
          </w:p>
          <w:p>
            <w:pPr>
              <w:pStyle w:val="Compact"/>
              <w:numPr>
                <w:ilvl w:val="0"/>
                <w:numId w:val="1070"/>
              </w:numPr>
            </w:pPr>
            <w:r>
              <w:t xml:space="preserve">Co-registration: Cross-sensor fusion (Landsat-Sentinel) requires explicit handling of differing grid systems</w:t>
            </w:r>
          </w:p>
          <w:p>
            <w:pPr>
              <w:pStyle w:val="Compact"/>
              <w:numPr>
                <w:ilvl w:val="0"/>
                <w:numId w:val="1070"/>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79"/>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rPr>
          <w:rStyle w:val="DocumentationTok"/>
        </w:rPr>
        <w:t xml:space="preserve">## </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r>
        <w:br/>
      </w:r>
      <w:r>
        <w:rPr>
          <w:rStyle w:val="DocumentationTok"/>
        </w:rPr>
        <w:t xml:space="preserve">##   [1] "2022-01-03" "2022-01-05" "2022-01-08" "2022-01-10" "2022-01-13"</w:t>
      </w:r>
      <w:r>
        <w:br/>
      </w:r>
      <w:r>
        <w:rPr>
          <w:rStyle w:val="DocumentationTok"/>
        </w:rPr>
        <w:t xml:space="preserve">##   [6] "2022-01-15" "2022-01-18" "2022-01-20" "2022-01-23" "2022-01-28"</w:t>
      </w:r>
      <w:r>
        <w:br/>
      </w:r>
      <w:r>
        <w:rPr>
          <w:rStyle w:val="DocumentationTok"/>
        </w:rPr>
        <w:t xml:space="preserve">##  [11] "2022-01-30" "2022-02-02" "2022-02-04" "2022-02-07" "2022-02-09"</w:t>
      </w:r>
      <w:r>
        <w:br/>
      </w:r>
      <w:r>
        <w:rPr>
          <w:rStyle w:val="DocumentationTok"/>
        </w:rPr>
        <w:t xml:space="preserve">##  [16] "2022-02-12" "2022-02-14" "2022-02-17" "2022-02-19" "2022-02-22"</w:t>
      </w:r>
      <w:r>
        <w:br/>
      </w:r>
      <w:r>
        <w:rPr>
          <w:rStyle w:val="DocumentationTok"/>
        </w:rPr>
        <w:t xml:space="preserve">##  [21] "2022-02-24" "2022-02-27" "2022-03-01" "2022-03-04" "2022-03-06"</w:t>
      </w:r>
      <w:r>
        <w:br/>
      </w:r>
      <w:r>
        <w:rPr>
          <w:rStyle w:val="DocumentationTok"/>
        </w:rPr>
        <w:t xml:space="preserve">##  [26] "2022-03-09" "2022-03-11" "2022-03-14" "2022-03-16" "2022-03-19"</w:t>
      </w:r>
      <w:r>
        <w:br/>
      </w:r>
      <w:r>
        <w:rPr>
          <w:rStyle w:val="DocumentationTok"/>
        </w:rPr>
        <w:t xml:space="preserve">##  [31] "2022-03-21" "2022-03-24" "2022-03-26" "2022-03-29" "2022-03-31"</w:t>
      </w:r>
      <w:r>
        <w:br/>
      </w:r>
      <w:r>
        <w:rPr>
          <w:rStyle w:val="DocumentationTok"/>
        </w:rPr>
        <w:t xml:space="preserve">##  [36] "2022-04-03" "2022-04-05" "2022-04-08" "2022-04-10" "2022-04-13"</w:t>
      </w:r>
      <w:r>
        <w:br/>
      </w:r>
      <w:r>
        <w:rPr>
          <w:rStyle w:val="DocumentationTok"/>
        </w:rPr>
        <w:t xml:space="preserve">##  [41] "2022-04-15" "2022-04-18" "2022-04-20" "2022-04-23" "2022-04-25"</w:t>
      </w:r>
      <w:r>
        <w:br/>
      </w:r>
      <w:r>
        <w:rPr>
          <w:rStyle w:val="DocumentationTok"/>
        </w:rPr>
        <w:t xml:space="preserve">##  [46] "2022-04-28" "2022-04-30" "2022-05-03" "2022-05-05" "2022-05-08"</w:t>
      </w:r>
      <w:r>
        <w:br/>
      </w:r>
      <w:r>
        <w:rPr>
          <w:rStyle w:val="DocumentationTok"/>
        </w:rPr>
        <w:t xml:space="preserve">##  [51] "2022-05-10" "2022-05-13" "2022-05-15" "2022-05-18" "2022-05-20"</w:t>
      </w:r>
      <w:r>
        <w:br/>
      </w:r>
      <w:r>
        <w:rPr>
          <w:rStyle w:val="DocumentationTok"/>
        </w:rPr>
        <w:t xml:space="preserve">##  [56] "2022-05-23" "2022-05-25" "2022-05-28" "2022-05-30" "2022-06-02"</w:t>
      </w:r>
      <w:r>
        <w:br/>
      </w:r>
      <w:r>
        <w:rPr>
          <w:rStyle w:val="DocumentationTok"/>
        </w:rPr>
        <w:t xml:space="preserve">##  [61] "2022-06-04" "2022-06-07" "2022-06-09" "2022-06-12" "2022-06-14"</w:t>
      </w:r>
      <w:r>
        <w:br/>
      </w:r>
      <w:r>
        <w:rPr>
          <w:rStyle w:val="DocumentationTok"/>
        </w:rPr>
        <w:t xml:space="preserve">##  [66] "2022-06-17" "2022-06-19" "2022-06-22" "2022-06-24" "2022-06-27"</w:t>
      </w:r>
      <w:r>
        <w:br/>
      </w:r>
      <w:r>
        <w:rPr>
          <w:rStyle w:val="DocumentationTok"/>
        </w:rPr>
        <w:t xml:space="preserve">##  [71] "2022-06-29" "2022-07-02" "2022-07-04" "2022-07-07" "2022-07-09"</w:t>
      </w:r>
      <w:r>
        <w:br/>
      </w:r>
      <w:r>
        <w:rPr>
          <w:rStyle w:val="DocumentationTok"/>
        </w:rPr>
        <w:t xml:space="preserve">##  [76] "2022-07-12" "2022-07-14" "2022-07-17" "2022-07-19" "2022-07-22"</w:t>
      </w:r>
      <w:r>
        <w:br/>
      </w:r>
      <w:r>
        <w:rPr>
          <w:rStyle w:val="DocumentationTok"/>
        </w:rPr>
        <w:t xml:space="preserve">##  [81] "2022-07-24" "2022-07-27" "2022-07-29" "2022-08-01" "2022-08-03"</w:t>
      </w:r>
      <w:r>
        <w:br/>
      </w:r>
      <w:r>
        <w:rPr>
          <w:rStyle w:val="DocumentationTok"/>
        </w:rPr>
        <w:t xml:space="preserve">##  [86] "2022-08-06" "2022-08-08" "2022-08-11" "2022-08-13" "2022-08-16"</w:t>
      </w:r>
      <w:r>
        <w:br/>
      </w:r>
      <w:r>
        <w:rPr>
          <w:rStyle w:val="DocumentationTok"/>
        </w:rPr>
        <w:t xml:space="preserve">##  [91] "2022-08-18" "2022-08-21" "2022-08-23" "2022-08-26" "2022-08-28"</w:t>
      </w:r>
      <w:r>
        <w:br/>
      </w:r>
      <w:r>
        <w:rPr>
          <w:rStyle w:val="DocumentationTok"/>
        </w:rPr>
        <w:t xml:space="preserve">##  [96] "2022-08-31" "2022-09-02" "2022-09-05" "2022-09-07" "2022-09-10"</w:t>
      </w:r>
      <w:r>
        <w:br/>
      </w:r>
      <w:r>
        <w:rPr>
          <w:rStyle w:val="DocumentationTok"/>
        </w:rPr>
        <w:t xml:space="preserve">## [101] "2022-09-12" "2022-09-15" "2022-09-17" "2022-09-20" "2022-09-22"</w:t>
      </w:r>
      <w:r>
        <w:br/>
      </w:r>
      <w:r>
        <w:rPr>
          <w:rStyle w:val="DocumentationTok"/>
        </w:rPr>
        <w:t xml:space="preserve">## [106] "2022-09-25" "2022-09-27" "2022-09-30" "2022-10-02" "2022-10-05"</w:t>
      </w:r>
      <w:r>
        <w:br/>
      </w:r>
      <w:r>
        <w:rPr>
          <w:rStyle w:val="DocumentationTok"/>
        </w:rPr>
        <w:t xml:space="preserve">## [111] "2022-10-07" "2022-10-10" "2022-10-12" "2022-10-15" "2022-10-17"</w:t>
      </w:r>
      <w:r>
        <w:br/>
      </w:r>
      <w:r>
        <w:rPr>
          <w:rStyle w:val="DocumentationTok"/>
        </w:rPr>
        <w:t xml:space="preserve">## [116] "2022-10-20" "2022-10-22" "2022-10-25" "2022-10-27" "2022-10-30"</w:t>
      </w:r>
      <w:r>
        <w:br/>
      </w:r>
      <w:r>
        <w:rPr>
          <w:rStyle w:val="DocumentationTok"/>
        </w:rPr>
        <w:t xml:space="preserve">## [121] "2022-11-01" "2022-11-04" "2022-11-06" "2022-11-09" "2022-11-11"</w:t>
      </w:r>
      <w:r>
        <w:br/>
      </w:r>
      <w:r>
        <w:rPr>
          <w:rStyle w:val="DocumentationTok"/>
        </w:rPr>
        <w:t xml:space="preserve">## [126] "2022-11-14" "2022-11-16" "2022-11-19" "2022-11-21" "2022-11-24"</w:t>
      </w:r>
      <w:r>
        <w:br/>
      </w:r>
      <w:r>
        <w:rPr>
          <w:rStyle w:val="DocumentationTok"/>
        </w:rPr>
        <w:t xml:space="preserve">## [131] "2022-11-26" "2022-11-29" "2022-12-01" "2022-12-04" "2022-12-06"</w:t>
      </w:r>
      <w:r>
        <w:br/>
      </w:r>
      <w:r>
        <w:rPr>
          <w:rStyle w:val="DocumentationTok"/>
        </w:rPr>
        <w:t xml:space="preserve">## [136] "2022-12-09" "2022-12-11" "2022-12-14" "2022-12-16" "2022-12-19"</w:t>
      </w:r>
      <w:r>
        <w:br/>
      </w:r>
      <w:r>
        <w:rPr>
          <w:rStyle w:val="DocumentationTok"/>
        </w:rPr>
        <w:t xml:space="preserve">## [141] "2022-12-21" "2022-12-24" "2022-12-26" "2022-12-29"</w:t>
      </w:r>
    </w:p>
    <w:bookmarkEnd w:id="180"/>
    <w:bookmarkStart w:id="187" w:name="normalize-data-cube"/>
    <w:p>
      <w:pPr>
        <w:pStyle w:val="Heading3"/>
      </w:pPr>
      <w:r>
        <w:t xml:space="preserve">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rPr>
          <w:rStyle w:val="AttributeTok"/>
        </w:rPr>
        <w:t xml:space="preserve">red =</w:t>
      </w:r>
      <w:r>
        <w:rPr>
          <w:rStyle w:val="NormalTok"/>
        </w:rPr>
        <w:t xml:space="preserve"> </w:t>
      </w:r>
      <w:r>
        <w:rPr>
          <w:rStyle w:val="StringTok"/>
        </w:rPr>
        <w:t xml:space="preserve">"B11"</w:t>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2" name="Picture"/>
            <a:graphic>
              <a:graphicData uri="http://schemas.openxmlformats.org/drawingml/2006/picture">
                <pic:pic>
                  <pic:nvPicPr>
                    <pic:cNvPr descr="03-activity-data/index_files/figure-docx/unnamed-chunk-5-1.png" id="183" name="Picture"/>
                    <pic:cNvPicPr>
                      <a:picLocks noChangeArrowheads="1" noChangeAspect="1"/>
                    </pic:cNvPicPr>
                  </pic:nvPicPr>
                  <pic:blipFill>
                    <a:blip r:embed="rId181"/>
                    <a:stretch>
                      <a:fillRect/>
                    </a:stretch>
                  </pic:blipFill>
                  <pic:spPr bwMode="auto">
                    <a:xfrm>
                      <a:off x="0" y="0"/>
                      <a:ext cx="5943600" cy="4754880"/>
                    </a:xfrm>
                    <a:prstGeom prst="rect">
                      <a:avLst/>
                    </a:prstGeom>
                    <a:noFill/>
                    <a:ln w="9525">
                      <a:noFill/>
                      <a:headEnd/>
                      <a:tailEnd/>
                    </a:ln>
                  </pic:spPr>
                </pic:pic>
              </a:graphicData>
            </a:graphic>
          </wp:inline>
        </w:drawing>
      </w:r>
    </w:p>
    <w:p>
      <w:pPr>
        <w:pStyle w:val="CaptionedFigure"/>
      </w:pPr>
      <w:r>
        <w:drawing>
          <wp:inline>
            <wp:extent cx="5943600" cy="3672295"/>
            <wp:effectExtent b="0" l="0" r="0" t="0"/>
            <wp:docPr descr="Color composite image of the data cube for date 2022-07-16." title="" id="185" name="Picture"/>
            <a:graphic>
              <a:graphicData uri="http://schemas.openxmlformats.org/drawingml/2006/picture">
                <pic:pic>
                  <pic:nvPicPr>
                    <pic:cNvPr descr="03-activity-data/assets/images/png/activity-data-a.png" id="186" name="Picture"/>
                    <pic:cNvPicPr>
                      <a:picLocks noChangeArrowheads="1" noChangeAspect="1"/>
                    </pic:cNvPicPr>
                  </pic:nvPicPr>
                  <pic:blipFill>
                    <a:blip r:embed="rId184"/>
                    <a:stretch>
                      <a:fillRect/>
                    </a:stretch>
                  </pic:blipFill>
                  <pic:spPr bwMode="auto">
                    <a:xfrm>
                      <a:off x="0" y="0"/>
                      <a:ext cx="5943600" cy="3672295"/>
                    </a:xfrm>
                    <a:prstGeom prst="rect">
                      <a:avLst/>
                    </a:prstGeom>
                    <a:noFill/>
                    <a:ln w="9525">
                      <a:noFill/>
                      <a:headEnd/>
                      <a:tailEnd/>
                    </a:ln>
                  </pic:spPr>
                </pic:pic>
              </a:graphicData>
            </a:graphic>
          </wp:inline>
        </w:drawing>
      </w:r>
    </w:p>
    <w:p>
      <w:pPr>
        <w:pStyle w:val="ImageCaption"/>
      </w:pPr>
      <w:r>
        <w:t xml:space="preserve">Color composite image of the data cube for date 2022-07-16.</w:t>
      </w:r>
    </w:p>
    <w:bookmarkEnd w:id="187"/>
    <w:bookmarkStart w:id="194" w:name="spectral-signatures"/>
    <w:p>
      <w:pPr>
        <w:pStyle w:val="Heading3"/>
      </w:pPr>
      <w:r>
        <w:t xml:space="preserve">Spectral Signatures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1"/>
        </w:numPr>
      </w:pPr>
      <w:r>
        <w:rPr>
          <w:rStyle w:val="VerbatimChar"/>
        </w:rPr>
        <w:t xml:space="preserve">Clear_Cut_Bare_Soil</w:t>
      </w:r>
      <w:r>
        <w:t xml:space="preserve">: Post-clearing exposed soil</w:t>
      </w:r>
    </w:p>
    <w:p>
      <w:pPr>
        <w:pStyle w:val="Compact"/>
        <w:numPr>
          <w:ilvl w:val="0"/>
          <w:numId w:val="1071"/>
        </w:numPr>
      </w:pPr>
      <w:r>
        <w:rPr>
          <w:rStyle w:val="VerbatimChar"/>
        </w:rPr>
        <w:t xml:space="preserve">Clear_Cut_Burned_Area</w:t>
      </w:r>
      <w:r>
        <w:t xml:space="preserve">: Burned clearing residues</w:t>
      </w:r>
    </w:p>
    <w:p>
      <w:pPr>
        <w:pStyle w:val="Compact"/>
        <w:numPr>
          <w:ilvl w:val="0"/>
          <w:numId w:val="1071"/>
        </w:numPr>
      </w:pPr>
      <w:r>
        <w:rPr>
          <w:rStyle w:val="VerbatimChar"/>
        </w:rPr>
        <w:t xml:space="preserve">Clear_Cut_Vegetation</w:t>
      </w:r>
      <w:r>
        <w:t xml:space="preserve">: Regrowth or residual vegetation post-harvest</w:t>
      </w:r>
    </w:p>
    <w:p>
      <w:pPr>
        <w:pStyle w:val="Compact"/>
        <w:numPr>
          <w:ilvl w:val="0"/>
          <w:numId w:val="1071"/>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1"/>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9" name="Picture"/>
            <a:graphic>
              <a:graphicData uri="http://schemas.openxmlformats.org/drawingml/2006/picture">
                <pic:pic>
                  <pic:nvPicPr>
                    <pic:cNvPr descr="03-activity-data/index_files/figure-docx/unnamed-chunk-8-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CaptionedFigure"/>
      </w:pPr>
      <w:r>
        <w:drawing>
          <wp:inline>
            <wp:extent cx="5943600" cy="3669379"/>
            <wp:effectExtent b="0" l="0" r="0" t="0"/>
            <wp:docPr descr="Time series of deforestation patterns from training samples of study in Rondonia (Simoes et al, 2021)." title="" id="192" name="Picture"/>
            <a:graphic>
              <a:graphicData uri="http://schemas.openxmlformats.org/drawingml/2006/picture">
                <pic:pic>
                  <pic:nvPicPr>
                    <pic:cNvPr descr="03-activity-data/assets/images/png/activity-data-b.png" id="193" name="Picture"/>
                    <pic:cNvPicPr>
                      <a:picLocks noChangeArrowheads="1" noChangeAspect="1"/>
                    </pic:cNvPicPr>
                  </pic:nvPicPr>
                  <pic:blipFill>
                    <a:blip r:embed="rId191"/>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Time series of deforestation patterns from training samples of study in Rondonia (Simoes et al, 2021).</w:t>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pPr>
        <w:pStyle w:val="BodyText"/>
      </w:pPr>
      <w:r>
        <w:t xml:space="preserve">For extracting spectral signatures at known locations of ground truth points, the</w:t>
      </w:r>
      <w:r>
        <w:t xml:space="preserve"> </w:t>
      </w:r>
      <w:r>
        <w:rPr>
          <w:rStyle w:val="VerbatimChar"/>
        </w:rPr>
        <w:t xml:space="preserve">sits_get_data()</w:t>
      </w:r>
      <w:r>
        <w:t xml:space="preserve"> </w:t>
      </w:r>
      <w:r>
        <w:t xml:space="preserve">function extracts band values by capturing signatures from the regularized data cube, creating a dataset suitable for training a classification model.</w:t>
      </w:r>
    </w:p>
    <w:p>
      <w:pPr>
        <w:pStyle w:val="SourceCode"/>
      </w:pPr>
      <w:r>
        <w:rPr>
          <w:rStyle w:val="NormalTok"/>
        </w:rPr>
        <w:t xml:space="preserve">training_samples_derived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 </w:t>
      </w:r>
      <w:r>
        <w:br/>
      </w:r>
      <w:r>
        <w:rPr>
          <w:rStyle w:val="NormalTok"/>
        </w:rPr>
        <w:t xml:space="preserve">  </w:t>
      </w:r>
      <w:r>
        <w:rPr>
          <w:rStyle w:val="AttributeTok"/>
        </w:rPr>
        <w:t xml:space="preserve">samples =</w:t>
      </w:r>
      <w:r>
        <w:rPr>
          <w:rStyle w:val="NormalTok"/>
        </w:rPr>
        <w:t xml:space="preserve"> training_samples_with_indices)</w:t>
      </w:r>
      <w:r>
        <w:br/>
      </w:r>
      <w:r>
        <w:br/>
      </w:r>
      <w:r>
        <w:rPr>
          <w:rStyle w:val="CommentTok"/>
        </w:rPr>
        <w:t xml:space="preserve"># Show the tibble with the first three points</w:t>
      </w:r>
      <w:r>
        <w:br/>
      </w:r>
      <w:r>
        <w:rPr>
          <w:rStyle w:val="NormalTok"/>
        </w:rPr>
        <w:t xml:space="preserve">training_samples_derived[</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ConstantTok"/>
        </w:rPr>
        <w:t xml:space="preserve">NA</w:t>
      </w:r>
      <w:r>
        <w:rPr>
          <w:rStyle w:val="NormalTok"/>
        </w:rPr>
        <w:t xml:space="preserve"> </w:t>
      </w:r>
      <w:r>
        <w:rPr>
          <w:rStyle w:val="CommentTok"/>
        </w:rPr>
        <w:t xml:space="preserve"># A tibble: 3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8.57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8.37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8.62</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Water               SENT… </w:t>
      </w:r>
      <w:r>
        <w:rPr>
          <w:rStyle w:val="SpecialCharTok"/>
        </w:rPr>
        <w:t xml:space="preserve">&lt;</w:t>
      </w:r>
      <w:r>
        <w:rPr>
          <w:rStyle w:val="NormalTok"/>
        </w:rPr>
        <w:t xml:space="preserve">tibble</w:t>
      </w:r>
      <w:r>
        <w:rPr>
          <w:rStyle w:val="SpecialCharTok"/>
        </w:rPr>
        <w:t xml:space="preserve">&gt;</w:t>
      </w:r>
    </w:p>
    <w:p>
      <w:r>
        <w:pict>
          <v:rect style="width:0;height:1.5pt" o:hralign="center" o:hrstd="t" o:hr="t"/>
        </w:pict>
      </w:r>
    </w:p>
    <w:bookmarkEnd w:id="194"/>
    <w:bookmarkStart w:id="198" w:name="train-classifier"/>
    <w:p>
      <w:pPr>
        <w:pStyle w:val="Heading3"/>
      </w:pPr>
      <w:r>
        <w:t xml:space="preserve">Train Classifier</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6" name="Picture"/>
            <a:graphic>
              <a:graphicData uri="http://schemas.openxmlformats.org/drawingml/2006/picture">
                <pic:pic>
                  <pic:nvPicPr>
                    <pic:cNvPr descr="03-activity-data/index_files/figure-docx/unnamed-chunk-10-1.png" id="197" name="Picture"/>
                    <pic:cNvPicPr>
                      <a:picLocks noChangeArrowheads="1" noChangeAspect="1"/>
                    </pic:cNvPicPr>
                  </pic:nvPicPr>
                  <pic:blipFill>
                    <a:blip r:embed="rId19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spectral-temporal features contribute most to class discrimination. For REDD+ operatoins, understanding feature importance supports:</w:t>
      </w:r>
    </w:p>
    <w:p>
      <w:pPr>
        <w:pStyle w:val="Compact"/>
        <w:numPr>
          <w:ilvl w:val="0"/>
          <w:numId w:val="1072"/>
        </w:numPr>
      </w:pPr>
      <w:r>
        <w:t xml:space="preserve">Uncertainty attribution: High-importance features with measurement error propagate more uncertainty</w:t>
      </w:r>
    </w:p>
    <w:p>
      <w:pPr>
        <w:pStyle w:val="Compact"/>
        <w:numPr>
          <w:ilvl w:val="0"/>
          <w:numId w:val="1072"/>
        </w:numPr>
      </w:pPr>
      <w:r>
        <w:t xml:space="preserve">Sensor planning: Identifies critical spectral bands for maintaining classification accuracy</w:t>
      </w:r>
    </w:p>
    <w:p>
      <w:pPr>
        <w:pStyle w:val="Compact"/>
        <w:numPr>
          <w:ilvl w:val="0"/>
          <w:numId w:val="1072"/>
        </w:numPr>
      </w:pPr>
      <w:r>
        <w:t xml:space="preserve">Transfer learning: Guides feature selection when adapting models to new regions</w:t>
      </w:r>
    </w:p>
    <w:p>
      <w:pPr>
        <w:pStyle w:val="Compact"/>
        <w:numPr>
          <w:ilvl w:val="0"/>
          <w:numId w:val="1072"/>
        </w:numPr>
      </w:pPr>
      <w:r>
        <w:t xml:space="preserve">Validation design: Informs stratification schemes for accuracy assessment</w:t>
      </w:r>
    </w:p>
    <w:bookmarkEnd w:id="198"/>
    <w:bookmarkStart w:id="199" w:name="training-regime"/>
    <w:p>
      <w:pPr>
        <w:pStyle w:val="Heading3"/>
      </w:pPr>
      <w:r>
        <w:t xml:space="preserve">Training Regime</w:t>
      </w:r>
    </w:p>
    <w:bookmarkEnd w:id="199"/>
    <w:bookmarkStart w:id="203" w:name="probability-data-cube"/>
    <w:p>
      <w:pPr>
        <w:pStyle w:val="Heading3"/>
      </w:pPr>
      <w:r>
        <w:t xml:space="preserve">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BodyText"/>
      </w:pPr>
      <w:r>
        <w:drawing>
          <wp:inline>
            <wp:extent cx="5943600" cy="3669379"/>
            <wp:effectExtent b="0" l="0" r="0" t="0"/>
            <wp:docPr descr="" title="" id="201" name="Picture"/>
            <a:graphic>
              <a:graphicData uri="http://schemas.openxmlformats.org/drawingml/2006/picture">
                <pic:pic>
                  <pic:nvPicPr>
                    <pic:cNvPr descr="03-activity-data/assets/images/png/activity-data-d.png" id="202" name="Picture"/>
                    <pic:cNvPicPr>
                      <a:picLocks noChangeArrowheads="1" noChangeAspect="1"/>
                    </pic:cNvPicPr>
                  </pic:nvPicPr>
                  <pic:blipFill>
                    <a:blip r:embed="rId200"/>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3"/>
        </w:numPr>
      </w:pPr>
      <w:r>
        <w:t xml:space="preserve">Adaptive stratification: High-uncertainty pixels receive higher validation sampling density</w:t>
      </w:r>
    </w:p>
    <w:p>
      <w:pPr>
        <w:pStyle w:val="Compact"/>
        <w:numPr>
          <w:ilvl w:val="0"/>
          <w:numId w:val="1073"/>
        </w:numPr>
      </w:pPr>
      <w:r>
        <w:t xml:space="preserve">Uncertainty propagation: Probability distributions feed Monte Carlo emission simulations</w:t>
      </w:r>
    </w:p>
    <w:p>
      <w:pPr>
        <w:pStyle w:val="Compact"/>
        <w:numPr>
          <w:ilvl w:val="0"/>
          <w:numId w:val="1073"/>
        </w:numPr>
      </w:pPr>
      <w:r>
        <w:t xml:space="preserve">Quality control: Spatial patterns of low confidence identify systematic classification errors</w:t>
      </w:r>
    </w:p>
    <w:p>
      <w:pPr>
        <w:pStyle w:val="Compact"/>
        <w:numPr>
          <w:ilvl w:val="0"/>
          <w:numId w:val="1073"/>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p>
      <w:r>
        <w:pict>
          <v:rect style="width:0;height:1.5pt" o:hralign="center" o:hrstd="t" o:hr="t"/>
        </w:pict>
      </w:r>
    </w:p>
    <w:bookmarkEnd w:id="203"/>
    <w:bookmarkStart w:id="210" w:name="smooth-data-cube"/>
    <w:p>
      <w:pPr>
        <w:pStyle w:val="Heading3"/>
      </w:pPr>
      <w:r>
        <w:t xml:space="preserve">Smooth Data Cube</w:t>
      </w:r>
    </w:p>
    <w:p>
      <w:pPr>
        <w:pStyle w:val="FirstParagraph"/>
      </w:pPr>
      <w:r>
        <w:t xml:space="preserve">Pixel-based classification inherently produces salt-and-pepper noise due to within-class spectral variability and mixed pixels. Isolated misclassified pixels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occurrence while preserving legitimate small patches</w:t>
      </w:r>
    </w:p>
    <w:p>
      <w:pPr>
        <w:pStyle w:val="CaptionedFigure"/>
      </w:pPr>
      <w:r>
        <w:drawing>
          <wp:inline>
            <wp:extent cx="5943600" cy="3669379"/>
            <wp:effectExtent b="0" l="0" r="0" t="0"/>
            <wp:docPr descr="Smoothed probability map for class Forest." title="" id="205" name="Picture"/>
            <a:graphic>
              <a:graphicData uri="http://schemas.openxmlformats.org/drawingml/2006/picture">
                <pic:pic>
                  <pic:nvPicPr>
                    <pic:cNvPr descr="03-activity-data/assets/images/png/activity-data-e.png" id="206" name="Picture"/>
                    <pic:cNvPicPr>
                      <a:picLocks noChangeArrowheads="1" noChangeAspect="1"/>
                    </pic:cNvPicPr>
                  </pic:nvPicPr>
                  <pic:blipFill>
                    <a:blip r:embed="rId204"/>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Applications/quarto/share/formats/docx/note.png" id="209" name="Picture"/>
                          <pic:cNvPicPr>
                            <a:picLocks noChangeArrowheads="1" noChangeAspect="1"/>
                          </pic:cNvPicPr>
                        </pic:nvPicPr>
                        <pic:blipFill>
                          <a:blip r:embed="rId2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Smoothening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bookmarkEnd w:id="210"/>
    <w:bookmarkStart w:id="214" w:name="classify-data-cube"/>
    <w:p>
      <w:pPr>
        <w:pStyle w:val="Heading3"/>
      </w:pPr>
      <w:r>
        <w:t xml:space="preserve">Classify Data Cube</w: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12" name="Picture"/>
            <a:graphic>
              <a:graphicData uri="http://schemas.openxmlformats.org/drawingml/2006/picture">
                <pic:pic>
                  <pic:nvPicPr>
                    <pic:cNvPr descr="03-activity-data/assets/images/png/activity-data-f.png" id="213" name="Picture"/>
                    <pic:cNvPicPr>
                      <a:picLocks noChangeArrowheads="1" noChangeAspect="1"/>
                    </pic:cNvPicPr>
                  </pic:nvPicPr>
                  <pic:blipFill>
                    <a:blip r:embed="rId211"/>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14"/>
    <w:bookmarkStart w:id="215" w:name="cross-validatiion"/>
    <w:p>
      <w:pPr>
        <w:pStyle w:val="Heading3"/>
      </w:pPr>
      <w:r>
        <w:t xml:space="preserve">Cross-Validatiion</w:t>
      </w:r>
    </w:p>
    <w:bookmarkEnd w:id="215"/>
    <w:bookmarkStart w:id="216" w:name="accuracy-assessment"/>
    <w:p>
      <w:pPr>
        <w:pStyle w:val="Heading3"/>
      </w:pPr>
      <w:r>
        <w:t xml:space="preserve">Accuracy Assessment</w:t>
      </w:r>
    </w:p>
    <w:bookmarkEnd w:id="216"/>
    <w:bookmarkEnd w:id="217"/>
    <w:bookmarkStart w:id="219" w:name="sec-ipcc-approaches"/>
    <w:p>
      <w:pPr>
        <w:pStyle w:val="Heading2"/>
      </w:pPr>
      <w:r>
        <w:t xml:space="preserve">3.2 IPCC Land Monitoring Approaches</w:t>
      </w:r>
    </w:p>
    <w:p>
      <w:pPr>
        <w:pStyle w:val="FirstParagraph"/>
      </w:pPr>
      <w:r>
        <w:t xml:space="preserve">The architecture of land-use transition monitoring systems determines the complexity and uncertainty of activity data. IPCC guidelines define three hierarchical approaches that differ in spatial explicitness and data requirements.</w:t>
      </w:r>
    </w:p>
    <w:bookmarkStart w:id="218" w:name="sec-approach-classification"/>
    <w:p>
      <w:pPr>
        <w:pStyle w:val="Heading3"/>
      </w:pPr>
      <w:r>
        <w:t xml:space="preserve">Approach Classification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Approach</w:t>
            </w:r>
          </w:p>
        </w:tc>
        <w:tc>
          <w:tcPr/>
          <w:p>
            <w:pPr>
              <w:pStyle w:val="Compact"/>
            </w:pPr>
            <w:r>
              <w:t xml:space="preserve">Data Requirement</w:t>
            </w:r>
          </w:p>
        </w:tc>
        <w:tc>
          <w:tcPr/>
          <w:p>
            <w:pPr>
              <w:pStyle w:val="Compact"/>
            </w:pPr>
            <w:r>
              <w:t xml:space="preserve">Spatial Explicitness</w:t>
            </w:r>
          </w:p>
        </w:tc>
        <w:tc>
          <w:tcPr/>
          <w:p>
            <w:pPr>
              <w:pStyle w:val="Compact"/>
            </w:pPr>
            <w:r>
              <w:t xml:space="preserve">Uncertainty</w:t>
            </w:r>
          </w:p>
        </w:tc>
      </w:tr>
      <w:tr>
        <w:tc>
          <w:tcPr/>
          <w:p>
            <w:pPr>
              <w:pStyle w:val="Compact"/>
            </w:pPr>
            <w:r>
              <w:t xml:space="preserve">Approach 1</w:t>
            </w:r>
          </w:p>
        </w:tc>
        <w:tc>
          <w:tcPr/>
          <w:p>
            <w:pPr>
              <w:pStyle w:val="Compact"/>
            </w:pPr>
            <w:r>
              <w:t xml:space="preserve">Total areas by category</w:t>
            </w:r>
          </w:p>
        </w:tc>
        <w:tc>
          <w:tcPr/>
          <w:p>
            <w:pPr>
              <w:pStyle w:val="Compact"/>
            </w:pPr>
            <w:r>
              <w:t xml:space="preserve">None (aggregated statistics)</w:t>
            </w:r>
          </w:p>
        </w:tc>
        <w:tc>
          <w:tcPr/>
          <w:p>
            <w:pPr>
              <w:pStyle w:val="Compact"/>
            </w:pPr>
            <w:r>
              <w:t xml:space="preserve">Highest</w:t>
            </w:r>
          </w:p>
        </w:tc>
      </w:tr>
      <w:tr>
        <w:tc>
          <w:tcPr/>
          <w:p>
            <w:pPr>
              <w:pStyle w:val="Compact"/>
            </w:pPr>
            <w:r>
              <w:t xml:space="preserve">Approach 2</w:t>
            </w:r>
          </w:p>
        </w:tc>
        <w:tc>
          <w:tcPr/>
          <w:p>
            <w:pPr>
              <w:pStyle w:val="Compact"/>
            </w:pPr>
            <w:r>
              <w:t xml:space="preserve">Transition matrices</w:t>
            </w:r>
          </w:p>
        </w:tc>
        <w:tc>
          <w:tcPr/>
          <w:p>
            <w:pPr>
              <w:pStyle w:val="Compact"/>
            </w:pPr>
            <w:r>
              <w:t xml:space="preserve">Sampling-based</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REDD+ Standard: Most carbon projects use Approach 3 with remote sensing classification, combining high spatial resolution with complete coverage. This approach enables:</w:t>
      </w:r>
    </w:p>
    <w:p>
      <w:pPr>
        <w:pStyle w:val="Compact"/>
        <w:numPr>
          <w:ilvl w:val="0"/>
          <w:numId w:val="1077"/>
        </w:numPr>
      </w:pPr>
      <w:r>
        <w:t xml:space="preserve">Pixel-level change detection</w:t>
      </w:r>
    </w:p>
    <w:p>
      <w:pPr>
        <w:pStyle w:val="Compact"/>
        <w:numPr>
          <w:ilvl w:val="0"/>
          <w:numId w:val="1077"/>
        </w:numPr>
      </w:pPr>
      <w:r>
        <w:t xml:space="preserve">Spatial stratification for uncertainty analysis</w:t>
      </w:r>
    </w:p>
    <w:p>
      <w:pPr>
        <w:pStyle w:val="Compact"/>
        <w:numPr>
          <w:ilvl w:val="0"/>
          <w:numId w:val="1077"/>
        </w:numPr>
      </w:pPr>
      <w:r>
        <w:t xml:space="preserve">Integration with degradation monitoring</w:t>
      </w:r>
    </w:p>
    <w:p>
      <w:pPr>
        <w:pStyle w:val="Compact"/>
        <w:numPr>
          <w:ilvl w:val="0"/>
          <w:numId w:val="1077"/>
        </w:numPr>
      </w:pPr>
      <w:r>
        <w:t xml:space="preserve">Transparent, verifiable methodologies</w:t>
      </w:r>
    </w:p>
    <w:p>
      <w:r>
        <w:pict>
          <v:rect style="width:0;height:1.5pt" o:hralign="center" o:hrstd="t" o:hr="t"/>
        </w:pict>
      </w:r>
    </w:p>
    <w:bookmarkEnd w:id="218"/>
    <w:bookmarkEnd w:id="219"/>
    <w:bookmarkStart w:id="220" w:name="sec-summary"/>
    <w:p>
      <w:pPr>
        <w:pStyle w:val="Heading2"/>
      </w:pPr>
      <w:r>
        <w:t xml:space="preserve">3.7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8"/>
        </w:numPr>
      </w:pPr>
      <w:r>
        <w:t xml:space="preserve">Data cube architecture: Structured approach to spatiotemporal land cover analysis</w:t>
      </w:r>
    </w:p>
    <w:p>
      <w:pPr>
        <w:pStyle w:val="Compact"/>
        <w:numPr>
          <w:ilvl w:val="0"/>
          <w:numId w:val="1078"/>
        </w:numPr>
      </w:pPr>
      <w:r>
        <w:t xml:space="preserve">IPCC methodology alignment: Clear guidance on Approach 3 requirements</w:t>
      </w:r>
    </w:p>
    <w:p>
      <w:pPr>
        <w:pStyle w:val="Compact"/>
        <w:numPr>
          <w:ilvl w:val="0"/>
          <w:numId w:val="1078"/>
        </w:numPr>
      </w:pPr>
      <w:r>
        <w:t xml:space="preserve">Pixel-level uncertainty tracking: Model residuals for adaptive sampling</w:t>
      </w:r>
    </w:p>
    <w:p>
      <w:pPr>
        <w:pStyle w:val="Compact"/>
        <w:numPr>
          <w:ilvl w:val="0"/>
          <w:numId w:val="1078"/>
        </w:numPr>
      </w:pPr>
      <w:r>
        <w:t xml:space="preserve">Random Forest optimization: Monte Carlo calibration workflows</w:t>
      </w:r>
    </w:p>
    <w:p>
      <w:pPr>
        <w:pStyle w:val="Compact"/>
        <w:numPr>
          <w:ilvl w:val="0"/>
          <w:numId w:val="1078"/>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220"/>
    <w:bookmarkEnd w:id="221"/>
    <w:bookmarkStart w:id="224" w:name="monte-carlo"/>
    <w:p>
      <w:pPr>
        <w:pStyle w:val="Heading1"/>
      </w:pPr>
      <w:r>
        <w:t xml:space="preserve">4. Monte Carlo</w:t>
      </w:r>
    </w:p>
    <w:bookmarkStart w:id="223" w:name="overview-3"/>
    <w:p>
      <w:pPr>
        <w:pStyle w:val="Heading2"/>
      </w:pPr>
      <w:r>
        <w:t xml:space="preserve">Overview</w:t>
      </w:r>
    </w:p>
    <w:p>
      <w:pPr>
        <w:pStyle w:val="Compact"/>
        <w:numPr>
          <w:ilvl w:val="0"/>
          <w:numId w:val="1079"/>
        </w:numPr>
      </w:pPr>
      <w:r>
        <w:t xml:space="preserve">Comment/Suggestion (JN, 12/04): Add section on probability density funciton</w:t>
      </w:r>
    </w:p>
    <w:bookmarkStart w:id="222" w:name="environment-setup-r-1"/>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222"/>
    <w:bookmarkEnd w:id="223"/>
    <w:bookmarkEnd w:id="224"/>
    <w:bookmarkStart w:id="298" w:name="references"/>
    <w:p>
      <w:pPr>
        <w:pStyle w:val="Heading1"/>
      </w:pPr>
      <w:r>
        <w:t xml:space="preserve">References</w:t>
      </w:r>
    </w:p>
    <w:bookmarkStart w:id="297" w:name="refs"/>
    <w:bookmarkStart w:id="226"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225">
        <w:r>
          <w:rPr>
            <w:rStyle w:val="Hyperlink"/>
          </w:rPr>
          <w:t xml:space="preserve">https://doi.org/10.3390/data4030092</w:t>
        </w:r>
      </w:hyperlink>
    </w:p>
    <w:bookmarkEnd w:id="226"/>
    <w:bookmarkStart w:id="227"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227"/>
    <w:bookmarkStart w:id="229"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228">
        <w:r>
          <w:rPr>
            <w:rStyle w:val="Hyperlink"/>
          </w:rPr>
          <w:t xml:space="preserve">https://doi.org/10.1034/j.1600-0706.2003.12181.x</w:t>
        </w:r>
      </w:hyperlink>
    </w:p>
    <w:bookmarkEnd w:id="229"/>
    <w:bookmarkStart w:id="231"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230">
        <w:r>
          <w:rPr>
            <w:rStyle w:val="Hyperlink"/>
          </w:rPr>
          <w:t xml:space="preserve">https://www.artredd.org/wp-content/uploads/2021/12/TREES-2.0-August-2021-Clean.pdf</w:t>
        </w:r>
      </w:hyperlink>
    </w:p>
    <w:bookmarkEnd w:id="231"/>
    <w:bookmarkStart w:id="232"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232"/>
    <w:bookmarkStart w:id="233"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233"/>
    <w:bookmarkStart w:id="234"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234"/>
    <w:bookmarkStart w:id="235"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235"/>
    <w:bookmarkStart w:id="236"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236"/>
    <w:bookmarkStart w:id="238"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237">
        <w:r>
          <w:rPr>
            <w:rStyle w:val="Hyperlink"/>
          </w:rPr>
          <w:t xml:space="preserve">https://e-sensing.github.io/sitsbook/uncertainty-and-active-learning.html#uncertainty-and-active-learning</w:t>
        </w:r>
      </w:hyperlink>
    </w:p>
    <w:bookmarkEnd w:id="238"/>
    <w:bookmarkStart w:id="239"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239"/>
    <w:bookmarkStart w:id="240"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240"/>
    <w:bookmarkStart w:id="241"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241"/>
    <w:bookmarkStart w:id="243"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242">
        <w:r>
          <w:rPr>
            <w:rStyle w:val="Hyperlink"/>
          </w:rPr>
          <w:t xml:space="preserve">https://doi.org/10.5067/DOC/CEOSWGCV/LPV/AGB.001</w:t>
        </w:r>
      </w:hyperlink>
    </w:p>
    <w:bookmarkEnd w:id="243"/>
    <w:bookmarkStart w:id="244"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244"/>
    <w:bookmarkStart w:id="245"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245"/>
    <w:bookmarkStart w:id="246"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246"/>
    <w:bookmarkStart w:id="247"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247"/>
    <w:bookmarkStart w:id="248"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248"/>
    <w:bookmarkStart w:id="249"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249"/>
    <w:bookmarkStart w:id="251" w:name="ref-terra-2"/>
    <w:p>
      <w:pPr>
        <w:pStyle w:val="Bibliography"/>
      </w:pPr>
      <w:r>
        <w:t xml:space="preserve">Hijmans, R. J. (2025).</w:t>
      </w:r>
      <w:r>
        <w:t xml:space="preserve"> </w:t>
      </w:r>
      <w:r>
        <w:rPr>
          <w:i/>
          <w:iCs/>
        </w:rPr>
        <w:t xml:space="preserve">Terra: Spatial data analysis</w:t>
      </w:r>
      <w:r>
        <w:t xml:space="preserve">.</w:t>
      </w:r>
      <w:r>
        <w:t xml:space="preserve"> </w:t>
      </w:r>
      <w:hyperlink r:id="rId250">
        <w:r>
          <w:rPr>
            <w:rStyle w:val="Hyperlink"/>
          </w:rPr>
          <w:t xml:space="preserve">https://CRAN.R-project.org/package=terra</w:t>
        </w:r>
      </w:hyperlink>
    </w:p>
    <w:bookmarkEnd w:id="251"/>
    <w:bookmarkStart w:id="252"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252"/>
    <w:bookmarkStart w:id="253"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253"/>
    <w:bookmarkStart w:id="254"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254"/>
    <w:bookmarkStart w:id="256"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255">
        <w:r>
          <w:rPr>
            <w:rStyle w:val="Hyperlink"/>
          </w:rPr>
          <w:t xml:space="preserve">https://www.ipcc-nggip.iges.or.jp/public/2019rf/vol4.html</w:t>
        </w:r>
      </w:hyperlink>
    </w:p>
    <w:bookmarkEnd w:id="256"/>
    <w:bookmarkStart w:id="258"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257">
        <w:r>
          <w:rPr>
            <w:rStyle w:val="Hyperlink"/>
          </w:rPr>
          <w:t xml:space="preserve">https://www.ipcc-nggip.iges.or.jp/public/2019rf/pdf/4_Volume4/19R_V4_Ch02_Generic%20Methods.pdf</w:t>
        </w:r>
      </w:hyperlink>
    </w:p>
    <w:bookmarkEnd w:id="258"/>
    <w:bookmarkStart w:id="259"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259"/>
    <w:bookmarkStart w:id="260"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260"/>
    <w:bookmarkStart w:id="261"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261"/>
    <w:bookmarkStart w:id="262"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262"/>
    <w:bookmarkStart w:id="263"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263"/>
    <w:bookmarkStart w:id="265"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264">
        <w:r>
          <w:rPr>
            <w:rStyle w:val="Hyperlink"/>
          </w:rPr>
          <w:t xml:space="preserve">https://doi.org/10.1016/j.aquabot.2007.12.006</w:t>
        </w:r>
      </w:hyperlink>
    </w:p>
    <w:bookmarkEnd w:id="265"/>
    <w:bookmarkStart w:id="266"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266"/>
    <w:bookmarkStart w:id="267" w:name="ref-kuhn2011caret"/>
    <w:p>
      <w:pPr>
        <w:pStyle w:val="Bibliography"/>
      </w:pPr>
      <w:r>
        <w:t xml:space="preserve">Kuhn, M. (2011).</w:t>
      </w:r>
      <w:r>
        <w:t xml:space="preserve"> </w:t>
      </w:r>
      <w:r>
        <w:rPr>
          <w:i/>
          <w:iCs/>
        </w:rPr>
        <w:t xml:space="preserve">The caret package</w:t>
      </w:r>
      <w:r>
        <w:t xml:space="preserve">.</w:t>
      </w:r>
    </w:p>
    <w:bookmarkEnd w:id="267"/>
    <w:bookmarkStart w:id="268"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268"/>
    <w:bookmarkStart w:id="269"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269"/>
    <w:bookmarkStart w:id="270"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270"/>
    <w:bookmarkStart w:id="271"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271"/>
    <w:bookmarkStart w:id="272"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272"/>
    <w:bookmarkStart w:id="273"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273"/>
    <w:bookmarkStart w:id="274"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274"/>
    <w:bookmarkStart w:id="276"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275">
        <w:r>
          <w:rPr>
            <w:rStyle w:val="Hyperlink"/>
          </w:rPr>
          <w:t xml:space="preserve">https://doi.org/10.1111/2041-210X.12753</w:t>
        </w:r>
      </w:hyperlink>
    </w:p>
    <w:bookmarkEnd w:id="276"/>
    <w:bookmarkStart w:id="277"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275">
        <w:r>
          <w:rPr>
            <w:rStyle w:val="Hyperlink"/>
          </w:rPr>
          <w:t xml:space="preserve">https://doi.org/10.1111/2041-210X.12753</w:t>
        </w:r>
      </w:hyperlink>
    </w:p>
    <w:bookmarkEnd w:id="277"/>
    <w:bookmarkStart w:id="278"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278"/>
    <w:bookmarkStart w:id="279"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279"/>
    <w:bookmarkStart w:id="280"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280"/>
    <w:bookmarkStart w:id="281"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281"/>
    <w:bookmarkStart w:id="282"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282"/>
    <w:bookmarkStart w:id="283"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283"/>
    <w:bookmarkStart w:id="284"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284"/>
    <w:bookmarkStart w:id="285"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285"/>
    <w:bookmarkStart w:id="287"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286">
        <w:r>
          <w:rPr>
            <w:rStyle w:val="Hyperlink"/>
          </w:rPr>
          <w:t xml:space="preserve">https://doi.org/10.3390/rs13132428</w:t>
        </w:r>
      </w:hyperlink>
    </w:p>
    <w:bookmarkEnd w:id="287"/>
    <w:bookmarkStart w:id="288"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288"/>
    <w:bookmarkStart w:id="289"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289"/>
    <w:bookmarkStart w:id="291"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290">
        <w:r>
          <w:rPr>
            <w:rStyle w:val="Hyperlink"/>
          </w:rPr>
          <w:t xml:space="preserve">https://doi.org/10.1080/07038992.2021.1941823</w:t>
        </w:r>
      </w:hyperlink>
    </w:p>
    <w:bookmarkEnd w:id="291"/>
    <w:bookmarkStart w:id="292"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292"/>
    <w:bookmarkStart w:id="293"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293"/>
    <w:bookmarkStart w:id="294"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294"/>
    <w:bookmarkStart w:id="295"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295"/>
    <w:bookmarkStart w:id="296"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296"/>
    <w:bookmarkEnd w:id="297"/>
    <w:bookmarkEnd w:id="298"/>
    <w:bookmarkStart w:id="301" w:name="glossary-of-terms"/>
    <w:p>
      <w:pPr>
        <w:pStyle w:val="Heading1"/>
      </w:pPr>
      <w:r>
        <w:t xml:space="preserve">Glossary of Terms</w:t>
      </w:r>
    </w:p>
    <w:p>
      <w:pPr>
        <w:pStyle w:val="Compact"/>
        <w:numPr>
          <w:ilvl w:val="0"/>
          <w:numId w:val="1080"/>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80"/>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80"/>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80"/>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80"/>
        </w:numPr>
      </w:pPr>
      <w:r>
        <w:rPr>
          <w:b/>
          <w:bCs/>
        </w:rPr>
        <w:t xml:space="preserve">Back-casting</w:t>
      </w:r>
      <w:r>
        <w:t xml:space="preserve">: The opposite of forecasting. Predicting conditions in the past from current conditions.</w:t>
      </w:r>
    </w:p>
    <w:p>
      <w:pPr>
        <w:pStyle w:val="Compact"/>
        <w:numPr>
          <w:ilvl w:val="0"/>
          <w:numId w:val="1080"/>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80"/>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80"/>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80"/>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80"/>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80"/>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80"/>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80"/>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80"/>
        </w:numPr>
      </w:pPr>
      <w:r>
        <w:rPr>
          <w:b/>
          <w:bCs/>
        </w:rPr>
        <w:t xml:space="preserve">Monte Carlo Method</w:t>
      </w:r>
      <w:r>
        <w:t xml:space="preserve">:</w:t>
      </w:r>
      <w:r>
        <w:rPr>
          <w:rStyle w:val="FootnoteReference"/>
        </w:rPr>
        <w:footnoteReference w:id="299"/>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80"/>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80"/>
        </w:numPr>
      </w:pPr>
      <w:r>
        <w:rPr>
          <w:b/>
          <w:bCs/>
        </w:rPr>
        <w:t xml:space="preserve">Oxidation:</w:t>
      </w:r>
      <w:r>
        <w:t xml:space="preserve"> </w:t>
      </w:r>
      <w:r>
        <w:t xml:space="preserve">Chemically transform of a substance by combining it with oxygen.</w:t>
      </w:r>
    </w:p>
    <w:p>
      <w:pPr>
        <w:pStyle w:val="Compact"/>
        <w:numPr>
          <w:ilvl w:val="0"/>
          <w:numId w:val="1080"/>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80"/>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80"/>
        </w:numPr>
      </w:pPr>
      <w:r>
        <w:rPr>
          <w:b/>
          <w:bCs/>
        </w:rPr>
        <w:t xml:space="preserve">Removals:</w:t>
      </w:r>
      <w:r>
        <w:t xml:space="preserve"> </w:t>
      </w:r>
      <w:r>
        <w:t xml:space="preserve">Removal of greenhouse gases and/or their precursors from the atmosphere by a sink.</w:t>
      </w:r>
    </w:p>
    <w:p>
      <w:pPr>
        <w:pStyle w:val="Compact"/>
        <w:numPr>
          <w:ilvl w:val="0"/>
          <w:numId w:val="1080"/>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80"/>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80"/>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80"/>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80"/>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80"/>
        </w:numPr>
      </w:pPr>
      <w:r>
        <w:t xml:space="preserve">Several definitions above were copied from the</w:t>
      </w:r>
      <w:r>
        <w:t xml:space="preserve"> </w:t>
      </w:r>
      <w:hyperlink r:id="rId300">
        <w:r>
          <w:rPr>
            <w:rStyle w:val="Hyperlink"/>
          </w:rPr>
          <w:t xml:space="preserve">IPCC’s 2006 Glossary of Terms</w:t>
        </w:r>
      </w:hyperlink>
    </w:p>
    <w:bookmarkEnd w:id="301"/>
    <w:bookmarkStart w:id="331" w:name="additional-reading"/>
    <w:p>
      <w:pPr>
        <w:pStyle w:val="Heading1"/>
      </w:pPr>
      <w:r>
        <w:t xml:space="preserve">Additional Reading</w:t>
      </w:r>
    </w:p>
    <w:bookmarkStart w:id="306" w:name="allometric-uncertainty-1"/>
    <w:p>
      <w:pPr>
        <w:pStyle w:val="Heading4"/>
      </w:pPr>
      <w:r>
        <w:rPr>
          <w:i/>
          <w:iCs/>
        </w:rPr>
        <w:t xml:space="preserve">Allometric Uncertainty:</w:t>
      </w:r>
    </w:p>
    <w:p>
      <w:pPr>
        <w:pStyle w:val="Compact"/>
        <w:numPr>
          <w:ilvl w:val="0"/>
          <w:numId w:val="1081"/>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1"/>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302">
        <w:r>
          <w:rPr>
            <w:rStyle w:val="Hyperlink"/>
          </w:rPr>
          <w:t xml:space="preserve">https://doi.org/10.5589/m06-030</w:t>
        </w:r>
      </w:hyperlink>
    </w:p>
    <w:p>
      <w:pPr>
        <w:pStyle w:val="Compact"/>
        <w:numPr>
          <w:ilvl w:val="0"/>
          <w:numId w:val="1081"/>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1"/>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242">
        <w:r>
          <w:rPr>
            <w:rStyle w:val="Hyperlink"/>
          </w:rPr>
          <w:t xml:space="preserve">https://doi.org/10.5067/DOC/CEOSWGCV/LPV/AGB.001</w:t>
        </w:r>
      </w:hyperlink>
    </w:p>
    <w:p>
      <w:pPr>
        <w:pStyle w:val="Compact"/>
        <w:numPr>
          <w:ilvl w:val="0"/>
          <w:numId w:val="1081"/>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1"/>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1"/>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1"/>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303">
        <w:r>
          <w:rPr>
            <w:rStyle w:val="Hyperlink"/>
          </w:rPr>
          <w:t xml:space="preserve">https://doi.org/10.1007/s13595-015-0473-x</w:t>
        </w:r>
      </w:hyperlink>
    </w:p>
    <w:p>
      <w:pPr>
        <w:pStyle w:val="Compact"/>
        <w:numPr>
          <w:ilvl w:val="0"/>
          <w:numId w:val="1081"/>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1"/>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1"/>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1"/>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304">
        <w:r>
          <w:rPr>
            <w:rStyle w:val="Hyperlink"/>
          </w:rPr>
          <w:t xml:space="preserve">https://doi.org/10.1007/s13595-014-0434-9</w:t>
        </w:r>
      </w:hyperlink>
    </w:p>
    <w:p>
      <w:pPr>
        <w:pStyle w:val="Compact"/>
        <w:numPr>
          <w:ilvl w:val="0"/>
          <w:numId w:val="1081"/>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1"/>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1"/>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1"/>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1"/>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1"/>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1"/>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1"/>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305">
        <w:r>
          <w:rPr>
            <w:rStyle w:val="Hyperlink"/>
          </w:rPr>
          <w:t xml:space="preserve">https://doi.org/10.1007/s10021-010-9315-8</w:t>
        </w:r>
      </w:hyperlink>
    </w:p>
    <w:p>
      <w:pPr>
        <w:pStyle w:val="Compact"/>
        <w:numPr>
          <w:ilvl w:val="0"/>
          <w:numId w:val="1081"/>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1"/>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306"/>
    <w:bookmarkStart w:id="307" w:name="emission-factor-uncertainty"/>
    <w:p>
      <w:pPr>
        <w:pStyle w:val="Heading4"/>
      </w:pPr>
      <w:r>
        <w:rPr>
          <w:i/>
          <w:iCs/>
        </w:rPr>
        <w:t xml:space="preserve">Emission Factor Uncertainty:</w:t>
      </w:r>
    </w:p>
    <w:p>
      <w:pPr>
        <w:pStyle w:val="Compact"/>
        <w:numPr>
          <w:ilvl w:val="0"/>
          <w:numId w:val="1082"/>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2"/>
        </w:numPr>
      </w:pPr>
      <w:r>
        <w:t xml:space="preserve">Brown, J.K. (1974). Handbook for inventorying downed woody material. USDA Forest Service General</w:t>
      </w:r>
      <w:r>
        <w:t xml:space="preserve"> </w:t>
      </w:r>
      <w:r>
        <w:t xml:space="preserve">Technical Report INT-16.</w:t>
      </w:r>
    </w:p>
    <w:p>
      <w:pPr>
        <w:pStyle w:val="Compact"/>
        <w:numPr>
          <w:ilvl w:val="0"/>
          <w:numId w:val="1082"/>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2"/>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2"/>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2"/>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2"/>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2"/>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2"/>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307"/>
    <w:bookmarkStart w:id="309" w:name="activity-data-uncertainty"/>
    <w:p>
      <w:pPr>
        <w:pStyle w:val="Heading4"/>
      </w:pPr>
      <w:r>
        <w:rPr>
          <w:i/>
          <w:iCs/>
        </w:rPr>
        <w:t xml:space="preserve">Activity Data Uncertainty:</w:t>
      </w:r>
    </w:p>
    <w:p>
      <w:pPr>
        <w:pStyle w:val="Compact"/>
        <w:numPr>
          <w:ilvl w:val="0"/>
          <w:numId w:val="1083"/>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3"/>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308">
        <w:r>
          <w:rPr>
            <w:rStyle w:val="Hyperlink"/>
          </w:rPr>
          <w:t xml:space="preserve">https://doi.org/10.1016/j.rse.2015.01.009</w:t>
        </w:r>
      </w:hyperlink>
    </w:p>
    <w:p>
      <w:pPr>
        <w:pStyle w:val="Compact"/>
        <w:numPr>
          <w:ilvl w:val="0"/>
          <w:numId w:val="1083"/>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3"/>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3"/>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3"/>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3"/>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3"/>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3"/>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309"/>
    <w:bookmarkStart w:id="312" w:name="monte-carlo-methods"/>
    <w:p>
      <w:pPr>
        <w:pStyle w:val="Heading4"/>
      </w:pPr>
      <w:r>
        <w:rPr>
          <w:i/>
          <w:iCs/>
        </w:rPr>
        <w:t xml:space="preserve">Monte Carlo Methods:</w:t>
      </w:r>
    </w:p>
    <w:p>
      <w:pPr>
        <w:pStyle w:val="Compact"/>
        <w:numPr>
          <w:ilvl w:val="0"/>
          <w:numId w:val="1084"/>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310">
        <w:r>
          <w:rPr>
            <w:rStyle w:val="Hyperlink"/>
          </w:rPr>
          <w:t xml:space="preserve">https://doi.org/10.1007/s10021-014-9749-5</w:t>
        </w:r>
      </w:hyperlink>
    </w:p>
    <w:p>
      <w:pPr>
        <w:pStyle w:val="Compact"/>
        <w:numPr>
          <w:ilvl w:val="0"/>
          <w:numId w:val="1084"/>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4"/>
        </w:numPr>
      </w:pPr>
      <w:r>
        <w:t xml:space="preserve">Molto, Q., Rossi, V., &amp; Blanc, L. (2013). Error propagation in biomass estimation in tropical</w:t>
      </w:r>
      <w:r>
        <w:t xml:space="preserve"> </w:t>
      </w:r>
      <w:r>
        <w:t xml:space="preserve">forests. Methods in Ecology and Evolution, 4(2), 175–183.</w:t>
      </w:r>
      <w:r>
        <w:t xml:space="preserve"> </w:t>
      </w:r>
      <w:hyperlink r:id="rId311">
        <w:r>
          <w:rPr>
            <w:rStyle w:val="Hyperlink"/>
          </w:rPr>
          <w:t xml:space="preserve">https://doi.org/10.1111/j.2041-210x.2012.00266.x</w:t>
        </w:r>
      </w:hyperlink>
    </w:p>
    <w:p>
      <w:pPr>
        <w:pStyle w:val="Compact"/>
        <w:numPr>
          <w:ilvl w:val="0"/>
          <w:numId w:val="1084"/>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305">
        <w:r>
          <w:rPr>
            <w:rStyle w:val="Hyperlink"/>
          </w:rPr>
          <w:t xml:space="preserve">https://doi.org/10.1007/s10021-010-9315-8</w:t>
        </w:r>
      </w:hyperlink>
    </w:p>
    <w:bookmarkEnd w:id="312"/>
    <w:bookmarkStart w:id="313" w:name="biostatistical-theory"/>
    <w:p>
      <w:pPr>
        <w:pStyle w:val="Heading4"/>
      </w:pPr>
      <w:r>
        <w:rPr>
          <w:i/>
          <w:iCs/>
        </w:rPr>
        <w:t xml:space="preserve">Biostatistical Theory:</w:t>
      </w:r>
    </w:p>
    <w:p>
      <w:pPr>
        <w:pStyle w:val="Compact"/>
        <w:numPr>
          <w:ilvl w:val="0"/>
          <w:numId w:val="1085"/>
        </w:numPr>
      </w:pPr>
      <w:r>
        <w:t xml:space="preserve">Buchanan, M. (2000). Ubiquity: Why Catastrophes Happen. Three Rivers Press.</w:t>
      </w:r>
    </w:p>
    <w:p>
      <w:pPr>
        <w:pStyle w:val="Compact"/>
        <w:numPr>
          <w:ilvl w:val="0"/>
          <w:numId w:val="1085"/>
        </w:numPr>
      </w:pPr>
      <w:r>
        <w:t xml:space="preserve">Mandelbrot, B. B., &amp; Hudson, R. L. (2004). The Misbehavior of Markets: A Fractal View of</w:t>
      </w:r>
      <w:r>
        <w:t xml:space="preserve"> </w:t>
      </w:r>
      <w:r>
        <w:t xml:space="preserve">Financial Turbulence. Basic Books.</w:t>
      </w:r>
    </w:p>
    <w:p>
      <w:pPr>
        <w:pStyle w:val="Compact"/>
        <w:numPr>
          <w:ilvl w:val="0"/>
          <w:numId w:val="1085"/>
        </w:numPr>
      </w:pPr>
      <w:r>
        <w:t xml:space="preserve">Strogatz, S. H. (2003). Sync: How Order Emerges from Chaos in the Universe, Nature, and Daily</w:t>
      </w:r>
      <w:r>
        <w:t xml:space="preserve"> </w:t>
      </w:r>
      <w:r>
        <w:t xml:space="preserve">Life. Hyperion.</w:t>
      </w:r>
    </w:p>
    <w:p>
      <w:pPr>
        <w:pStyle w:val="Compact"/>
        <w:numPr>
          <w:ilvl w:val="0"/>
          <w:numId w:val="1085"/>
        </w:numPr>
      </w:pPr>
      <w:r>
        <w:t xml:space="preserve">Taleb, N. N. (2007). The Black Swan: The Impact of the Highly Improbable. Random House.</w:t>
      </w:r>
    </w:p>
    <w:bookmarkEnd w:id="313"/>
    <w:bookmarkStart w:id="329"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314">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315">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316">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5">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317">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318">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319">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320">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321">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322">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323">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6">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324">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325">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8">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326">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327">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328">
              <w:r>
                <w:rPr>
                  <w:rStyle w:val="Hyperlink"/>
                </w:rPr>
                <w:t xml:space="preserve">Link</w:t>
              </w:r>
            </w:hyperlink>
          </w:p>
        </w:tc>
      </w:tr>
    </w:tbl>
    <w:bookmarkEnd w:id="329"/>
    <w:bookmarkStart w:id="330"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6"/>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330"/>
    <w:bookmarkEnd w:id="331"/>
    <w:bookmarkStart w:id="332"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7"/>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8"/>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332"/>
    <w:bookmarkStart w:id="333"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333"/>
    <w:bookmarkStart w:id="334"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334"/>
    <w:bookmarkStart w:id="335"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335"/>
    <w:bookmarkStart w:id="336"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336"/>
    <w:bookmarkStart w:id="337"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337"/>
    <w:bookmarkStart w:id="338" w:name="set-seed-for-reproducibility"/>
    <w:p>
      <w:pPr>
        <w:pStyle w:val="Heading1"/>
      </w:pPr>
      <w:r>
        <w:t xml:space="preserve">Set seed for reproducibility</w:t>
      </w:r>
    </w:p>
    <w:p>
      <w:pPr>
        <w:pStyle w:val="FirstParagraph"/>
      </w:pPr>
      <w:r>
        <w:t xml:space="preserve">set.seed(42)</w:t>
      </w:r>
    </w:p>
    <w:bookmarkEnd w:id="338"/>
    <w:bookmarkStart w:id="339" w:name="number-of-monte-carlo-iterations"/>
    <w:p>
      <w:pPr>
        <w:pStyle w:val="Heading1"/>
      </w:pPr>
      <w:r>
        <w:t xml:space="preserve">Number of Monte Carlo iterations</w:t>
      </w:r>
    </w:p>
    <w:p>
      <w:pPr>
        <w:pStyle w:val="FirstParagraph"/>
      </w:pPr>
      <w:r>
        <w:t xml:space="preserve">n_sim &lt;- 10000</w:t>
      </w:r>
    </w:p>
    <w:bookmarkEnd w:id="339"/>
    <w:bookmarkStart w:id="340"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340"/>
    <w:bookmarkStart w:id="341"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341"/>
    <w:bookmarkStart w:id="342"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342"/>
    <w:bookmarkStart w:id="343" w:name="gwp-100-values-ipcc-ar6"/>
    <w:p>
      <w:pPr>
        <w:pStyle w:val="Heading1"/>
      </w:pPr>
      <w:r>
        <w:t xml:space="preserve">GWP-100 values (IPCC AR6)</w:t>
      </w:r>
    </w:p>
    <w:p>
      <w:pPr>
        <w:pStyle w:val="FirstParagraph"/>
      </w:pPr>
      <w:r>
        <w:t xml:space="preserve">GWP_CH4 &lt;- 28 GWP_N2O &lt;- 265</w:t>
      </w:r>
    </w:p>
    <w:bookmarkEnd w:id="343"/>
    <w:bookmarkStart w:id="344"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344"/>
    <w:bookmarkStart w:id="345"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345"/>
    <w:bookmarkStart w:id="346"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346"/>
    <w:bookmarkStart w:id="347"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9"/>
        </w:numPr>
      </w:pPr>
      <w:r>
        <w:t xml:space="preserve">Flight planning:</w:t>
      </w:r>
    </w:p>
    <w:bookmarkEnd w:id="347"/>
    <w:bookmarkStart w:id="348"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348"/>
    <w:bookmarkStart w:id="349"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90"/>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1"/>
        </w:numPr>
      </w:pPr>
      <w:r>
        <w:t xml:space="preserve">Gas concentration analysis:</w:t>
      </w:r>
    </w:p>
    <w:bookmarkEnd w:id="349"/>
    <w:bookmarkStart w:id="350"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350"/>
    <w:bookmarkStart w:id="351"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351"/>
    <w:bookmarkStart w:id="352"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352"/>
    <w:bookmarkStart w:id="353"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353"/>
    <w:bookmarkStart w:id="354"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354"/>
    <w:bookmarkStart w:id="355"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355"/>
    <w:bookmarkStart w:id="356" w:name="section"/>
    <w:p>
      <w:pPr>
        <w:pStyle w:val="Heading1"/>
      </w:pPr>
      <w:r>
        <w:t xml:space="preserve">=============================================================================</w:t>
      </w:r>
    </w:p>
    <w:bookmarkEnd w:id="356"/>
    <w:bookmarkStart w:id="357" w:name="X79659c6e2da773b1f424fba67068bae538f9fa8"/>
    <w:p>
      <w:pPr>
        <w:pStyle w:val="Heading1"/>
      </w:pPr>
      <w:r>
        <w:t xml:space="preserve">ART-TREES COMPLIANT EMISSION FACTOR UNCERTAINTY ASSESSMENT</w:t>
      </w:r>
    </w:p>
    <w:bookmarkEnd w:id="357"/>
    <w:bookmarkStart w:id="358" w:name="Xab64bd744c5122dd682fb63986a501df36be991"/>
    <w:p>
      <w:pPr>
        <w:pStyle w:val="Heading1"/>
      </w:pPr>
      <w:r>
        <w:t xml:space="preserve">Combines: Emission factors + Combustion factor + Biomass uncertainty</w:t>
      </w:r>
    </w:p>
    <w:bookmarkEnd w:id="358"/>
    <w:bookmarkStart w:id="359" w:name="section-1"/>
    <w:p>
      <w:pPr>
        <w:pStyle w:val="Heading1"/>
      </w:pPr>
      <w:r>
        <w:t xml:space="preserve">=============================================================================</w:t>
      </w:r>
    </w:p>
    <w:p>
      <w:pPr>
        <w:pStyle w:val="FirstParagraph"/>
      </w:pPr>
      <w:r>
        <w:t xml:space="preserve">set.seed(2025) n_sim &lt;- 10000</w:t>
      </w:r>
    </w:p>
    <w:bookmarkEnd w:id="359"/>
    <w:bookmarkStart w:id="360"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360"/>
    <w:bookmarkStart w:id="361"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361"/>
    <w:bookmarkStart w:id="362"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362"/>
    <w:bookmarkStart w:id="363"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363"/>
    <w:bookmarkStart w:id="364"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364"/>
    <w:bookmarkStart w:id="365"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365"/>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 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9"/>
        </w:numPr>
      </w:pPr>
      <w:r>
        <w:t xml:space="preserve">Amazon Web Services (AWS): Open data Sentinel-2/2A Level-2A collections for the Earth’s land surface.</w:t>
      </w:r>
    </w:p>
    <w:p>
      <w:pPr>
        <w:pStyle w:val="Compact"/>
        <w:numPr>
          <w:ilvl w:val="0"/>
          <w:numId w:val="1009"/>
        </w:numPr>
      </w:pPr>
      <w:r>
        <w:t xml:space="preserve">Brazil Data Cube (BDC): Open data collections of Sentinel-2/2A, Landsat-8, CBERS-4/4A, and MOD13Q1 products for Brazil. These collections are organized as regular data cubes.</w:t>
      </w:r>
    </w:p>
    <w:p>
      <w:pPr>
        <w:pStyle w:val="Compact"/>
        <w:numPr>
          <w:ilvl w:val="0"/>
          <w:numId w:val="1009"/>
        </w:numPr>
      </w:pPr>
      <w:r>
        <w:t xml:space="preserve">Copernicus Data Space Ecosystem (CDSE): Open data collections of Sentinel-1 RTC and Sentinel-2/2A images.</w:t>
      </w:r>
    </w:p>
    <w:p>
      <w:pPr>
        <w:pStyle w:val="Compact"/>
        <w:numPr>
          <w:ilvl w:val="0"/>
          <w:numId w:val="1009"/>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9"/>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9"/>
        </w:numPr>
      </w:pPr>
      <w:r>
        <w:t xml:space="preserve">Harmonized Landsat-Sentinel (HLS): HLS, provided by NASA, is an open data collection that processes Landsat 8 and Sentinel-2 imagery to a common standard.</w:t>
      </w:r>
    </w:p>
    <w:p>
      <w:pPr>
        <w:pStyle w:val="Compact"/>
        <w:numPr>
          <w:ilvl w:val="0"/>
          <w:numId w:val="1009"/>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9"/>
        </w:numPr>
      </w:pPr>
      <w:r>
        <w:t xml:space="preserve">Swiss Data Cube (SDC): Collection of Sentinel-2/2A and Landsat-8 images for Switzerland.</w:t>
      </w:r>
    </w:p>
    <w:p>
      <w:pPr>
        <w:pStyle w:val="Compact"/>
        <w:numPr>
          <w:ilvl w:val="0"/>
          <w:numId w:val="1009"/>
        </w:numPr>
      </w:pPr>
      <w:r>
        <w:t xml:space="preserve">Terrascope: Cloud service with EO products, which includes the ESA World Cover map.</w:t>
      </w:r>
    </w:p>
    <w:p>
      <w:pPr>
        <w:pStyle w:val="Compact"/>
        <w:numPr>
          <w:ilvl w:val="0"/>
          <w:numId w:val="1009"/>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5">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67"/>
        </w:numPr>
      </w:pPr>
      <w:r>
        <w:t xml:space="preserve">Amazon Web Services (AWS): Open data Sentinel-2/2A Level-2A collections for the Earth’s land surface.</w:t>
      </w:r>
    </w:p>
    <w:p>
      <w:pPr>
        <w:pStyle w:val="Compact"/>
        <w:numPr>
          <w:ilvl w:val="0"/>
          <w:numId w:val="1067"/>
        </w:numPr>
      </w:pPr>
      <w:r>
        <w:t xml:space="preserve">Brazil Data Cube (BDC): Open data collections of Sentinel-2/2A, Landsat-8, CBERS-4/4A, and MOD13Q1 products for Brazil. These collections are organized as regular data cubes.</w:t>
      </w:r>
    </w:p>
    <w:p>
      <w:pPr>
        <w:pStyle w:val="Compact"/>
        <w:numPr>
          <w:ilvl w:val="0"/>
          <w:numId w:val="1067"/>
        </w:numPr>
      </w:pPr>
      <w:r>
        <w:t xml:space="preserve">Copernicus Data Space Ecosystem (CDSE): Open data collections of Sentinel-1 RTC and Sentinel-2/2A images.</w:t>
      </w:r>
    </w:p>
    <w:p>
      <w:pPr>
        <w:pStyle w:val="Compact"/>
        <w:numPr>
          <w:ilvl w:val="0"/>
          <w:numId w:val="1067"/>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7"/>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67"/>
        </w:numPr>
      </w:pPr>
      <w:r>
        <w:t xml:space="preserve">Harmonized Landsat-Sentinel (HLS): HLS, provided by NASA, is an open data collection that processes Landsat 8 and Sentinel-2 imagery to a common standard.</w:t>
      </w:r>
    </w:p>
    <w:p>
      <w:pPr>
        <w:pStyle w:val="Compact"/>
        <w:numPr>
          <w:ilvl w:val="0"/>
          <w:numId w:val="1067"/>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7"/>
        </w:numPr>
      </w:pPr>
      <w:r>
        <w:t xml:space="preserve">Swiss Data Cube (SDC): Collection of Sentinel-2/2A and Landsat-8 images for Switzerland.</w:t>
      </w:r>
    </w:p>
    <w:p>
      <w:pPr>
        <w:pStyle w:val="Compact"/>
        <w:numPr>
          <w:ilvl w:val="0"/>
          <w:numId w:val="1067"/>
        </w:numPr>
      </w:pPr>
      <w:r>
        <w:t xml:space="preserve">Terrascope: Cloud service with EO products, which includes the ESA World Cover map.</w:t>
      </w:r>
    </w:p>
    <w:p>
      <w:pPr>
        <w:pStyle w:val="Compact"/>
        <w:numPr>
          <w:ilvl w:val="0"/>
          <w:numId w:val="1067"/>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7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99">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07" Target="media/rId207.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11" Target="media/rId211.png" /><Relationship Type="http://schemas.openxmlformats.org/officeDocument/2006/relationships/image" Id="rId195" Target="media/rId195.png" /><Relationship Type="http://schemas.openxmlformats.org/officeDocument/2006/relationships/image" Id="rId181" Target="media/rId181.png" /><Relationship Type="http://schemas.openxmlformats.org/officeDocument/2006/relationships/image" Id="rId188" Target="media/rId188.png" /><Relationship Type="http://schemas.openxmlformats.org/officeDocument/2006/relationships/hyperlink" Id="rId250" Target="https://CRAN.R-project.org/package=terra"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05" Target="https://doi.org/10.1007/s10021-010-9315-8" TargetMode="External" /><Relationship Type="http://schemas.openxmlformats.org/officeDocument/2006/relationships/hyperlink" Id="rId310" Target="https://doi.org/10.1007/s10021-014-9749-5" TargetMode="External" /><Relationship Type="http://schemas.openxmlformats.org/officeDocument/2006/relationships/hyperlink" Id="rId304" Target="https://doi.org/10.1007/s13595-014-0434-9" TargetMode="External" /><Relationship Type="http://schemas.openxmlformats.org/officeDocument/2006/relationships/hyperlink" Id="rId303" Target="https://doi.org/10.1007/s13595-015-0473-x" TargetMode="External" /><Relationship Type="http://schemas.openxmlformats.org/officeDocument/2006/relationships/hyperlink" Id="rId264" Target="https://doi.org/10.1016/j.aquabot.2007.12.006" TargetMode="External" /><Relationship Type="http://schemas.openxmlformats.org/officeDocument/2006/relationships/hyperlink" Id="rId308" Target="https://doi.org/10.1016/j.rse.2015.01.009" TargetMode="External" /><Relationship Type="http://schemas.openxmlformats.org/officeDocument/2006/relationships/hyperlink" Id="rId228" Target="https://doi.org/10.1034/j.1600-0706.2003.12181.x" TargetMode="External" /><Relationship Type="http://schemas.openxmlformats.org/officeDocument/2006/relationships/hyperlink" Id="rId290" Target="https://doi.org/10.1080/07038992.2021.1941823" TargetMode="External" /><Relationship Type="http://schemas.openxmlformats.org/officeDocument/2006/relationships/hyperlink" Id="rId275" Target="https://doi.org/10.1111/2041-210X.12753" TargetMode="External" /><Relationship Type="http://schemas.openxmlformats.org/officeDocument/2006/relationships/hyperlink" Id="rId311" Target="https://doi.org/10.1111/j.2041-210x.2012.00266.x" TargetMode="External" /><Relationship Type="http://schemas.openxmlformats.org/officeDocument/2006/relationships/hyperlink" Id="rId225" Target="https://doi.org/10.3390/data4030092" TargetMode="External" /><Relationship Type="http://schemas.openxmlformats.org/officeDocument/2006/relationships/hyperlink" Id="rId286" Target="https://doi.org/10.3390/rs13132428" TargetMode="External" /><Relationship Type="http://schemas.openxmlformats.org/officeDocument/2006/relationships/hyperlink" Id="rId242" Target="https://doi.org/10.5067/DOC/CEOSWGCV/LPV/AGB.001" TargetMode="External" /><Relationship Type="http://schemas.openxmlformats.org/officeDocument/2006/relationships/hyperlink" Id="rId302" Target="https://doi.org/10.5589/m06-030" TargetMode="External" /><Relationship Type="http://schemas.openxmlformats.org/officeDocument/2006/relationships/hyperlink" Id="rId237" Target="https://e-sensing.github.io/sitsbook/uncertainty-and-active-learning.html#uncertainty-and-active-learning" TargetMode="External" /><Relationship Type="http://schemas.openxmlformats.org/officeDocument/2006/relationships/hyperlink" Id="rId366"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230" Target="https://www.artredd.org/wp-content/uploads/2021/12/TREES-2.0-August-2021-Clean.pdf" TargetMode="External" /><Relationship Type="http://schemas.openxmlformats.org/officeDocument/2006/relationships/hyperlink" Id="rId300" Target="https://www.ipcc-nggip.iges.or.jp/public/2006gl/pdf/0_Overview/V0_2_Glossary.pdf" TargetMode="External" /><Relationship Type="http://schemas.openxmlformats.org/officeDocument/2006/relationships/hyperlink" Id="rId314" Target="https://www.ipcc-nggip.iges.or.jp/public/2006gl/pdf/4_Volume4/V4_02_Ch2_Generic.pdf#page=15" TargetMode="External" /><Relationship Type="http://schemas.openxmlformats.org/officeDocument/2006/relationships/hyperlink" Id="rId315"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26" Target="https://www.ipcc-nggip.iges.or.jp/public/2006gl/pdf/4_Volume4/V4_09_Ch9_Other_Land.pdf#page=7" TargetMode="External" /><Relationship Type="http://schemas.openxmlformats.org/officeDocument/2006/relationships/hyperlink" Id="rId257" Target="https://www.ipcc-nggip.iges.or.jp/public/2019rf/pdf/4_Volume4/19R_V4_Ch02_Generic%20Methods.pdf" TargetMode="External" /><Relationship Type="http://schemas.openxmlformats.org/officeDocument/2006/relationships/hyperlink" Id="rId316"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17" Target="https://www.ipcc-nggip.iges.or.jp/public/2019rf/pdf/4_Volume4/19R_V4_Ch03_Land%20Representation.pdf#page=11" TargetMode="External" /><Relationship Type="http://schemas.openxmlformats.org/officeDocument/2006/relationships/hyperlink" Id="rId320" Target="https://www.ipcc-nggip.iges.or.jp/public/2019rf/pdf/4_Volume4/19R_V4_Ch03_Land%20Representation.pdf#page=17" TargetMode="External" /><Relationship Type="http://schemas.openxmlformats.org/officeDocument/2006/relationships/hyperlink" Id="rId319" Target="https://www.ipcc-nggip.iges.or.jp/public/2019rf/pdf/4_Volume4/19R_V4_Ch03_Land%20Representation.pdf#page=20" TargetMode="External" /><Relationship Type="http://schemas.openxmlformats.org/officeDocument/2006/relationships/hyperlink" Id="rId318" Target="https://www.ipcc-nggip.iges.or.jp/public/2019rf/pdf/4_Volume4/19R_V4_Ch03_Land%20Representation.pdf#page=21" TargetMode="External" /><Relationship Type="http://schemas.openxmlformats.org/officeDocument/2006/relationships/hyperlink" Id="rId322" Target="https://www.ipcc-nggip.iges.or.jp/public/2019rf/pdf/4_Volume4/19R_V4_Ch03_Land%20Representation.pdf#page=35" TargetMode="External" /><Relationship Type="http://schemas.openxmlformats.org/officeDocument/2006/relationships/hyperlink" Id="rId321" Target="https://www.ipcc-nggip.iges.or.jp/public/2019rf/pdf/4_Volume4/19R_V4_Ch03_Land%20Representation.pdf#page=47" TargetMode="External" /><Relationship Type="http://schemas.openxmlformats.org/officeDocument/2006/relationships/hyperlink" Id="rId323"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24" Target="https://www.ipcc-nggip.iges.or.jp/public/2019rf/pdf/4_Volume4/19R_V4_Ch05_Cropland.pdf#page=41.9" TargetMode="External" /><Relationship Type="http://schemas.openxmlformats.org/officeDocument/2006/relationships/hyperlink" Id="rId325" Target="https://www.ipcc-nggip.iges.or.jp/public/2019rf/pdf/4_Volume4/19R_V4_Ch05_Cropland.pdf#page=45" TargetMode="External" /><Relationship Type="http://schemas.openxmlformats.org/officeDocument/2006/relationships/hyperlink" Id="rId255" Target="https://www.ipcc-nggip.iges.or.jp/public/2019rf/vol4.html" TargetMode="External" /><Relationship Type="http://schemas.openxmlformats.org/officeDocument/2006/relationships/hyperlink" Id="rId328" Target="https://www.ipcc.ch/report/ar6/wg1/downloads/report/IPCC_AR6_WGI_Chapter07.pdf#page=95" TargetMode="External" /><Relationship Type="http://schemas.openxmlformats.org/officeDocument/2006/relationships/hyperlink" Id="rId327"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250" Target="https://CRAN.R-project.org/package=terra"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05" Target="https://doi.org/10.1007/s10021-010-9315-8" TargetMode="External" /><Relationship Type="http://schemas.openxmlformats.org/officeDocument/2006/relationships/hyperlink" Id="rId310" Target="https://doi.org/10.1007/s10021-014-9749-5" TargetMode="External" /><Relationship Type="http://schemas.openxmlformats.org/officeDocument/2006/relationships/hyperlink" Id="rId304" Target="https://doi.org/10.1007/s13595-014-0434-9" TargetMode="External" /><Relationship Type="http://schemas.openxmlformats.org/officeDocument/2006/relationships/hyperlink" Id="rId303" Target="https://doi.org/10.1007/s13595-015-0473-x" TargetMode="External" /><Relationship Type="http://schemas.openxmlformats.org/officeDocument/2006/relationships/hyperlink" Id="rId264" Target="https://doi.org/10.1016/j.aquabot.2007.12.006" TargetMode="External" /><Relationship Type="http://schemas.openxmlformats.org/officeDocument/2006/relationships/hyperlink" Id="rId308" Target="https://doi.org/10.1016/j.rse.2015.01.009" TargetMode="External" /><Relationship Type="http://schemas.openxmlformats.org/officeDocument/2006/relationships/hyperlink" Id="rId228" Target="https://doi.org/10.1034/j.1600-0706.2003.12181.x" TargetMode="External" /><Relationship Type="http://schemas.openxmlformats.org/officeDocument/2006/relationships/hyperlink" Id="rId290" Target="https://doi.org/10.1080/07038992.2021.1941823" TargetMode="External" /><Relationship Type="http://schemas.openxmlformats.org/officeDocument/2006/relationships/hyperlink" Id="rId275" Target="https://doi.org/10.1111/2041-210X.12753" TargetMode="External" /><Relationship Type="http://schemas.openxmlformats.org/officeDocument/2006/relationships/hyperlink" Id="rId311" Target="https://doi.org/10.1111/j.2041-210x.2012.00266.x" TargetMode="External" /><Relationship Type="http://schemas.openxmlformats.org/officeDocument/2006/relationships/hyperlink" Id="rId225" Target="https://doi.org/10.3390/data4030092" TargetMode="External" /><Relationship Type="http://schemas.openxmlformats.org/officeDocument/2006/relationships/hyperlink" Id="rId286" Target="https://doi.org/10.3390/rs13132428" TargetMode="External" /><Relationship Type="http://schemas.openxmlformats.org/officeDocument/2006/relationships/hyperlink" Id="rId242" Target="https://doi.org/10.5067/DOC/CEOSWGCV/LPV/AGB.001" TargetMode="External" /><Relationship Type="http://schemas.openxmlformats.org/officeDocument/2006/relationships/hyperlink" Id="rId302" Target="https://doi.org/10.5589/m06-030" TargetMode="External" /><Relationship Type="http://schemas.openxmlformats.org/officeDocument/2006/relationships/hyperlink" Id="rId237" Target="https://e-sensing.github.io/sitsbook/uncertainty-and-active-learning.html#uncertainty-and-active-learning" TargetMode="External" /><Relationship Type="http://schemas.openxmlformats.org/officeDocument/2006/relationships/hyperlink" Id="rId366"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230" Target="https://www.artredd.org/wp-content/uploads/2021/12/TREES-2.0-August-2021-Clean.pdf" TargetMode="External" /><Relationship Type="http://schemas.openxmlformats.org/officeDocument/2006/relationships/hyperlink" Id="rId300" Target="https://www.ipcc-nggip.iges.or.jp/public/2006gl/pdf/0_Overview/V0_2_Glossary.pdf" TargetMode="External" /><Relationship Type="http://schemas.openxmlformats.org/officeDocument/2006/relationships/hyperlink" Id="rId314" Target="https://www.ipcc-nggip.iges.or.jp/public/2006gl/pdf/4_Volume4/V4_02_Ch2_Generic.pdf#page=15" TargetMode="External" /><Relationship Type="http://schemas.openxmlformats.org/officeDocument/2006/relationships/hyperlink" Id="rId315"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26" Target="https://www.ipcc-nggip.iges.or.jp/public/2006gl/pdf/4_Volume4/V4_09_Ch9_Other_Land.pdf#page=7" TargetMode="External" /><Relationship Type="http://schemas.openxmlformats.org/officeDocument/2006/relationships/hyperlink" Id="rId257" Target="https://www.ipcc-nggip.iges.or.jp/public/2019rf/pdf/4_Volume4/19R_V4_Ch02_Generic%20Methods.pdf" TargetMode="External" /><Relationship Type="http://schemas.openxmlformats.org/officeDocument/2006/relationships/hyperlink" Id="rId316"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17" Target="https://www.ipcc-nggip.iges.or.jp/public/2019rf/pdf/4_Volume4/19R_V4_Ch03_Land%20Representation.pdf#page=11" TargetMode="External" /><Relationship Type="http://schemas.openxmlformats.org/officeDocument/2006/relationships/hyperlink" Id="rId320" Target="https://www.ipcc-nggip.iges.or.jp/public/2019rf/pdf/4_Volume4/19R_V4_Ch03_Land%20Representation.pdf#page=17" TargetMode="External" /><Relationship Type="http://schemas.openxmlformats.org/officeDocument/2006/relationships/hyperlink" Id="rId319" Target="https://www.ipcc-nggip.iges.or.jp/public/2019rf/pdf/4_Volume4/19R_V4_Ch03_Land%20Representation.pdf#page=20" TargetMode="External" /><Relationship Type="http://schemas.openxmlformats.org/officeDocument/2006/relationships/hyperlink" Id="rId318" Target="https://www.ipcc-nggip.iges.or.jp/public/2019rf/pdf/4_Volume4/19R_V4_Ch03_Land%20Representation.pdf#page=21" TargetMode="External" /><Relationship Type="http://schemas.openxmlformats.org/officeDocument/2006/relationships/hyperlink" Id="rId322" Target="https://www.ipcc-nggip.iges.or.jp/public/2019rf/pdf/4_Volume4/19R_V4_Ch03_Land%20Representation.pdf#page=35" TargetMode="External" /><Relationship Type="http://schemas.openxmlformats.org/officeDocument/2006/relationships/hyperlink" Id="rId321" Target="https://www.ipcc-nggip.iges.or.jp/public/2019rf/pdf/4_Volume4/19R_V4_Ch03_Land%20Representation.pdf#page=47" TargetMode="External" /><Relationship Type="http://schemas.openxmlformats.org/officeDocument/2006/relationships/hyperlink" Id="rId323"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24" Target="https://www.ipcc-nggip.iges.or.jp/public/2019rf/pdf/4_Volume4/19R_V4_Ch05_Cropland.pdf#page=41.9" TargetMode="External" /><Relationship Type="http://schemas.openxmlformats.org/officeDocument/2006/relationships/hyperlink" Id="rId325" Target="https://www.ipcc-nggip.iges.or.jp/public/2019rf/pdf/4_Volume4/19R_V4_Ch05_Cropland.pdf#page=45" TargetMode="External" /><Relationship Type="http://schemas.openxmlformats.org/officeDocument/2006/relationships/hyperlink" Id="rId255" Target="https://www.ipcc-nggip.iges.or.jp/public/2019rf/vol4.html" TargetMode="External" /><Relationship Type="http://schemas.openxmlformats.org/officeDocument/2006/relationships/hyperlink" Id="rId328" Target="https://www.ipcc.ch/report/ar6/wg1/downloads/report/IPCC_AR6_WGI_Chapter07.pdf#page=95" TargetMode="External" /><Relationship Type="http://schemas.openxmlformats.org/officeDocument/2006/relationships/hyperlink" Id="rId327"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Reducing Uncertainty, Maximizing Credits</dc:title>
  <dc:creator>Winrock International; Dr Julie Nash; Dr Seamus Murphy; Nicole Scotti</dc:creator>
  <cp:keywords/>
  <dcterms:created xsi:type="dcterms:W3CDTF">2025-12-27T20:16:44Z</dcterms:created>
  <dcterms:modified xsi:type="dcterms:W3CDTF">2025-12-27T20:16:44Z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A Practical Training to REDD+ Carbon Accounting for Jurisdictional Programs Under ART-TREES Standards (V2.0)</vt:lpwstr>
  </property>
  <property fmtid="{D5CDD505-2E9C-101B-9397-08002B2CF9AE}" pid="16" name="template-partials">
    <vt:lpwstr/>
  </property>
  <property fmtid="{D5CDD505-2E9C-101B-9397-08002B2CF9AE}" pid="17" name="toc-title">
    <vt:lpwstr>Table of contents</vt:lpwstr>
  </property>
</Properties>
</file>